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1"/>
      </w:pPr>
      <w:bookmarkStart w:name="generaltermsandconditions" w:id="0"/>
      <w:r>
        <w:rPr>
          <w:rtl w:val="0"/>
          <w:lang w:val="en-US"/>
        </w:rPr>
        <w:t>GENERAL TERMS AND CONDITIONS</w:t>
      </w:r>
      <w:bookmarkEnd w:id="0"/>
    </w:p>
    <w:p>
      <w:pPr>
        <w:pStyle w:val="Normal.0"/>
      </w:pPr>
      <w:r>
        <w:rPr>
          <w:rtl w:val="0"/>
          <w:lang w:val="en-US"/>
        </w:rPr>
        <w:t xml:space="preserve">of the website operated at https://www.bookbase.app/ </w:t>
      </w:r>
      <w:r>
        <w:rPr>
          <w:rtl w:val="0"/>
        </w:rPr>
        <w:t xml:space="preserve">, </w:t>
      </w:r>
      <w:r>
        <w:rPr>
          <w:rStyle w:val="Hyperlink.0"/>
        </w:rPr>
        <w:fldChar w:fldCharType="begin" w:fldLock="0"/>
      </w:r>
      <w:r>
        <w:rPr>
          <w:rStyle w:val="Hyperlink.0"/>
        </w:rPr>
        <w:instrText xml:space="preserve"> HYPERLINK "https://thegoal.co"</w:instrText>
      </w:r>
      <w:r>
        <w:rPr>
          <w:rStyle w:val="Hyperlink.0"/>
        </w:rPr>
        <w:fldChar w:fldCharType="separate" w:fldLock="0"/>
      </w:r>
      <w:r>
        <w:rPr>
          <w:rStyle w:val="Hyperlink.0"/>
          <w:rtl w:val="0"/>
        </w:rPr>
        <w:t>https://thegoal.co</w:t>
      </w:r>
      <w:r>
        <w:rPr/>
        <w:fldChar w:fldCharType="end" w:fldLock="0"/>
      </w:r>
      <w:r>
        <w:rPr>
          <w:rtl w:val="0"/>
        </w:rPr>
        <w:t xml:space="preserve"> </w:t>
      </w:r>
      <w:r>
        <w:rPr>
          <w:rtl w:val="0"/>
          <w:lang w:val="en-US"/>
        </w:rPr>
        <w:t>and the K</w:t>
      </w:r>
      <w:r>
        <w:rPr>
          <w:rtl w:val="0"/>
          <w:lang w:val="sv-SE"/>
        </w:rPr>
        <w:t>ö</w:t>
      </w:r>
      <w:r>
        <w:rPr>
          <w:rtl w:val="0"/>
        </w:rPr>
        <w:t xml:space="preserve">nyvKlub / BookBase </w:t>
      </w:r>
      <w:r>
        <w:rPr>
          <w:rtl w:val="0"/>
        </w:rPr>
        <w:t xml:space="preserve">/ The Goal </w:t>
      </w:r>
      <w:r>
        <w:rPr>
          <w:rtl w:val="0"/>
          <w:lang w:val="it-IT"/>
        </w:rPr>
        <w:t>Mobile Application</w:t>
      </w:r>
    </w:p>
    <w:p>
      <w:pPr>
        <w:pStyle w:val="heading 2"/>
      </w:pPr>
      <w:bookmarkStart w:name="i.introductoryprovisions" w:id="1"/>
      <w:r>
        <w:rPr>
          <w:rFonts w:cs="Arial Unicode MS" w:eastAsia="Arial Unicode MS"/>
          <w:rtl w:val="0"/>
          <w:lang w:val="en-US"/>
        </w:rPr>
        <w:t>I. INTRODUCTORY PROVISIONS</w:t>
      </w:r>
      <w:bookmarkEnd w:id="1"/>
    </w:p>
    <w:p>
      <w:pPr>
        <w:pStyle w:val="heading 3"/>
      </w:pPr>
      <w:bookmarkStart w:name="websiteapplicationserviceprovider" w:id="2"/>
      <w:r>
        <w:rPr>
          <w:rFonts w:cs="Arial Unicode MS" w:eastAsia="Arial Unicode MS"/>
          <w:rtl w:val="0"/>
          <w:lang w:val="de-DE"/>
        </w:rPr>
        <w:t>1. WEBSITE / APPLICATION SERVICE PROVIDER</w:t>
      </w:r>
      <w:bookmarkEnd w:id="2"/>
    </w:p>
    <w:p>
      <w:pPr>
        <w:pStyle w:val="Normal.0"/>
      </w:pPr>
      <w:r>
        <w:rPr>
          <w:b w:val="1"/>
          <w:bCs w:val="1"/>
          <w:rtl w:val="0"/>
          <w:lang w:val="de-DE"/>
        </w:rPr>
        <w:t>Name:</w:t>
      </w:r>
      <w:r>
        <w:rPr>
          <w:rtl w:val="0"/>
          <w:lang w:val="en-US"/>
        </w:rPr>
        <w:t xml:space="preserve"> OM Education &amp; Consulting Kft.</w:t>
      </w:r>
    </w:p>
    <w:p>
      <w:pPr>
        <w:pStyle w:val="Normal.0"/>
      </w:pPr>
      <w:r>
        <w:rPr>
          <w:b w:val="1"/>
          <w:bCs w:val="1"/>
          <w:rtl w:val="0"/>
          <w:lang w:val="en-US"/>
        </w:rPr>
        <w:t>Registered seat:</w:t>
      </w:r>
      <w:r>
        <w:rPr>
          <w:rtl w:val="0"/>
          <w:lang w:val="de-DE"/>
        </w:rPr>
        <w:t xml:space="preserve"> 3300 Eger, Koh</w:t>
      </w:r>
      <w:r>
        <w:rPr>
          <w:rtl w:val="0"/>
        </w:rPr>
        <w:t>á</w:t>
      </w:r>
      <w:r>
        <w:rPr>
          <w:rtl w:val="0"/>
        </w:rPr>
        <w:t>ry Istv</w:t>
      </w:r>
      <w:r>
        <w:rPr>
          <w:rtl w:val="0"/>
        </w:rPr>
        <w:t>á</w:t>
      </w:r>
      <w:r>
        <w:rPr>
          <w:rtl w:val="0"/>
          <w:lang w:val="en-US"/>
        </w:rPr>
        <w:t>n utca 19, 1st floor, apt. 6</w:t>
      </w:r>
    </w:p>
    <w:p>
      <w:pPr>
        <w:pStyle w:val="Normal.0"/>
      </w:pPr>
      <w:r>
        <w:rPr>
          <w:b w:val="1"/>
          <w:bCs w:val="1"/>
          <w:rtl w:val="0"/>
          <w:lang w:val="en-US"/>
        </w:rPr>
        <w:t>Tax number:</w:t>
      </w:r>
      <w:r>
        <w:rPr>
          <w:rtl w:val="0"/>
        </w:rPr>
        <w:t xml:space="preserve"> 28775704-</w:t>
      </w:r>
      <w:r>
        <w:rPr>
          <w:rtl w:val="0"/>
        </w:rPr>
        <w:t>2</w:t>
      </w:r>
      <w:r>
        <w:rPr>
          <w:rtl w:val="0"/>
          <w:lang w:val="ru-RU"/>
        </w:rPr>
        <w:t>-10</w:t>
      </w:r>
    </w:p>
    <w:p>
      <w:pPr>
        <w:pStyle w:val="Normal.0"/>
      </w:pPr>
      <w:r>
        <w:rPr>
          <w:b w:val="1"/>
          <w:bCs w:val="1"/>
          <w:rtl w:val="0"/>
          <w:lang w:val="en-US"/>
        </w:rPr>
        <w:t>Company registration number:</w:t>
      </w:r>
      <w:r>
        <w:rPr>
          <w:rtl w:val="0"/>
        </w:rPr>
        <w:t xml:space="preserve"> 10-09-038258</w:t>
      </w:r>
    </w:p>
    <w:p>
      <w:pPr>
        <w:pStyle w:val="Normal.0"/>
      </w:pPr>
      <w:r>
        <w:rPr>
          <w:b w:val="1"/>
          <w:bCs w:val="1"/>
          <w:rtl w:val="0"/>
          <w:lang w:val="en-US"/>
        </w:rPr>
        <w:t>Electronic contact:</w:t>
      </w:r>
      <w:r>
        <w:rPr>
          <w:rtl w:val="0"/>
          <w:lang w:val="en-US"/>
        </w:rPr>
        <w:t xml:space="preserve"> hello@</w:t>
      </w:r>
      <w:r>
        <w:rPr>
          <w:rtl w:val="0"/>
        </w:rPr>
        <w:t>onlinemarketinges.com</w:t>
      </w:r>
    </w:p>
    <w:p>
      <w:pPr>
        <w:pStyle w:val="heading 3"/>
      </w:pPr>
      <w:bookmarkStart w:name="websitehostingserviceprovider" w:id="3"/>
      <w:r>
        <w:rPr>
          <w:rFonts w:cs="Arial Unicode MS" w:eastAsia="Arial Unicode MS"/>
          <w:rtl w:val="0"/>
          <w:lang w:val="de-DE"/>
        </w:rPr>
        <w:t>2. WEBSITE HOSTING SERVICE PROVIDER</w:t>
      </w:r>
      <w:bookmarkEnd w:id="3"/>
    </w:p>
    <w:p>
      <w:pPr>
        <w:pStyle w:val="Normal.0"/>
      </w:pPr>
      <w:r>
        <w:rPr>
          <w:b w:val="1"/>
          <w:bCs w:val="1"/>
          <w:rtl w:val="0"/>
          <w:lang w:val="en-US"/>
        </w:rPr>
        <w:t>Company name:</w:t>
      </w:r>
      <w:r>
        <w:rPr>
          <w:rtl w:val="0"/>
          <w:lang w:val="en-US"/>
        </w:rPr>
        <w:t xml:space="preserve"> Amazon Web Services Inc.</w:t>
      </w:r>
    </w:p>
    <w:p>
      <w:pPr>
        <w:pStyle w:val="Normal.0"/>
      </w:pPr>
      <w:r>
        <w:rPr>
          <w:b w:val="1"/>
          <w:bCs w:val="1"/>
          <w:rtl w:val="0"/>
          <w:lang w:val="en-US"/>
        </w:rPr>
        <w:t>Mailing address:</w:t>
      </w:r>
      <w:r>
        <w:rPr>
          <w:rtl w:val="0"/>
          <w:lang w:val="en-US"/>
        </w:rPr>
        <w:t xml:space="preserve"> 10 Terry Avenue North, Seattle, WA 98109-5210</w:t>
      </w:r>
    </w:p>
    <w:p>
      <w:pPr>
        <w:pStyle w:val="Normal.0"/>
      </w:pPr>
      <w:r>
        <w:rPr>
          <w:b w:val="1"/>
          <w:bCs w:val="1"/>
          <w:rtl w:val="0"/>
          <w:lang w:val="en-US"/>
        </w:rPr>
        <w:t>Electronic contact:</w:t>
      </w:r>
      <w:r>
        <w:rPr>
          <w:rtl w:val="0"/>
          <w:lang w:val="en-US"/>
        </w:rPr>
        <w:t xml:space="preserve"> https://aws.amazon.com/</w:t>
      </w:r>
    </w:p>
    <w:p>
      <w:pPr>
        <w:pStyle w:val="heading 3"/>
      </w:pPr>
      <w:bookmarkStart w:name="X9104555c3d21ebeb610b2b1c1e61dd2f409a4b8" w:id="4"/>
      <w:r>
        <w:rPr>
          <w:rFonts w:cs="Arial Unicode MS" w:eastAsia="Arial Unicode MS"/>
          <w:rtl w:val="0"/>
          <w:lang w:val="en-US"/>
        </w:rPr>
        <w:t>3. DEFINITIONS USED ON THE WEBSITE / IN THE APPLICATION</w:t>
      </w:r>
      <w:bookmarkEnd w:id="4"/>
    </w:p>
    <w:p>
      <w:pPr>
        <w:pStyle w:val="Normal.0"/>
      </w:pPr>
      <w:r>
        <w:rPr>
          <w:b w:val="1"/>
          <w:bCs w:val="1"/>
          <w:rtl w:val="0"/>
        </w:rPr>
        <w:t>GTC:</w:t>
      </w:r>
      <w:r>
        <w:rPr>
          <w:rtl w:val="0"/>
          <w:lang w:val="en-US"/>
        </w:rPr>
        <w:t xml:space="preserve"> General Terms and Conditions. The set of rules encompassing the rights and obligations of the Service Provider and the Visitor/Subscriber, the determination of applicable law, the steps and conditions of using the website / application and subscribing, as well as a description of available legal remedies.</w:t>
      </w:r>
    </w:p>
    <w:p>
      <w:pPr>
        <w:pStyle w:val="Normal.0"/>
      </w:pPr>
      <w:r>
        <w:rPr>
          <w:b w:val="1"/>
          <w:bCs w:val="1"/>
          <w:rtl w:val="0"/>
        </w:rPr>
        <w:t>Privacy Policy:</w:t>
      </w:r>
      <w:r>
        <w:rPr>
          <w:rtl w:val="0"/>
          <w:lang w:val="en-US"/>
        </w:rPr>
        <w:t xml:space="preserve"> The document recording and informing data subjects of the Service Provider</w:t>
      </w:r>
      <w:r>
        <w:rPr>
          <w:rtl w:val="1"/>
        </w:rPr>
        <w:t>’</w:t>
      </w:r>
      <w:r>
        <w:rPr>
          <w:rtl w:val="0"/>
          <w:lang w:val="en-US"/>
        </w:rPr>
        <w:t>s data processing principles, criteria, and data processing activities carried out in connection with the operation of the website / application, available as a separate document.</w:t>
      </w:r>
    </w:p>
    <w:p>
      <w:pPr>
        <w:pStyle w:val="Normal.0"/>
      </w:pPr>
      <w:r>
        <w:rPr>
          <w:b w:val="1"/>
          <w:bCs w:val="1"/>
          <w:rtl w:val="0"/>
          <w:lang w:val="en-US"/>
        </w:rPr>
        <w:t>Service Provider:</w:t>
      </w:r>
      <w:r>
        <w:rPr>
          <w:rtl w:val="0"/>
          <w:lang w:val="en-US"/>
        </w:rPr>
        <w:t xml:space="preserve"> The owner and operator of the </w:t>
      </w:r>
      <w:r>
        <w:rPr>
          <w:rStyle w:val="Hyperlink.0"/>
        </w:rPr>
        <w:fldChar w:fldCharType="begin" w:fldLock="0"/>
      </w:r>
      <w:r>
        <w:rPr>
          <w:rStyle w:val="Hyperlink.0"/>
        </w:rPr>
        <w:instrText xml:space="preserve"> HYPERLINK "https://www.bookbase.app/"</w:instrText>
      </w:r>
      <w:r>
        <w:rPr>
          <w:rStyle w:val="Hyperlink.0"/>
        </w:rPr>
        <w:fldChar w:fldCharType="separate" w:fldLock="0"/>
      </w:r>
      <w:r>
        <w:rPr>
          <w:rStyle w:val="Hyperlink.0"/>
          <w:rtl w:val="0"/>
          <w:lang w:val="en-US"/>
        </w:rPr>
        <w:t>https://www.bookbase.app/</w:t>
      </w:r>
      <w:r>
        <w:rPr/>
        <w:fldChar w:fldCharType="end" w:fldLock="0"/>
      </w:r>
      <w:r>
        <w:rPr>
          <w:rtl w:val="0"/>
        </w:rPr>
        <w:t xml:space="preserve"> https://thegoal.co/</w:t>
      </w:r>
      <w:r>
        <w:rPr>
          <w:rtl w:val="0"/>
          <w:lang w:val="en-US"/>
        </w:rPr>
        <w:t xml:space="preserve"> website and the K</w:t>
      </w:r>
      <w:r>
        <w:rPr>
          <w:rtl w:val="0"/>
          <w:lang w:val="sv-SE"/>
        </w:rPr>
        <w:t>ö</w:t>
      </w:r>
      <w:r>
        <w:rPr>
          <w:rtl w:val="0"/>
        </w:rPr>
        <w:t xml:space="preserve">nyvKlub / BookBase </w:t>
      </w:r>
      <w:r>
        <w:rPr>
          <w:rtl w:val="0"/>
        </w:rPr>
        <w:t xml:space="preserve">/ The Goal </w:t>
      </w:r>
      <w:r>
        <w:rPr>
          <w:rtl w:val="0"/>
          <w:lang w:val="it-IT"/>
        </w:rPr>
        <w:t>mobile application.</w:t>
      </w:r>
    </w:p>
    <w:p>
      <w:pPr>
        <w:pStyle w:val="Normal.0"/>
      </w:pPr>
      <w:r>
        <w:rPr>
          <w:b w:val="1"/>
          <w:bCs w:val="1"/>
          <w:rtl w:val="0"/>
          <w:lang w:val="en-US"/>
        </w:rPr>
        <w:t>Subscriber:</w:t>
      </w:r>
      <w:r>
        <w:rPr>
          <w:rtl w:val="0"/>
          <w:lang w:val="en-US"/>
        </w:rPr>
        <w:t xml:space="preserve"> A natural or legal person who, following registration, pays the subscription fee for the service(s) provided by the Service Provider under a subscription model and uses the website and mobile application in full.</w:t>
      </w:r>
    </w:p>
    <w:p>
      <w:pPr>
        <w:pStyle w:val="Normal.0"/>
      </w:pPr>
      <w:r>
        <w:rPr>
          <w:b w:val="1"/>
          <w:bCs w:val="1"/>
          <w:rtl w:val="0"/>
          <w:lang w:val="it-IT"/>
        </w:rPr>
        <w:t>Consumer (Civil Code):</w:t>
      </w:r>
      <w:r>
        <w:rPr>
          <w:rtl w:val="1"/>
          <w:lang w:val="ar-SA" w:bidi="ar-SA"/>
        </w:rPr>
        <w:t xml:space="preserve"> “</w:t>
      </w:r>
      <w:r>
        <w:rPr>
          <w:rtl w:val="0"/>
          <w:lang w:val="en-US"/>
        </w:rPr>
        <w:t>A natural person acting outside the scope of their profession, self-employment, or business activity.</w:t>
      </w:r>
      <w:r>
        <w:rPr>
          <w:rtl w:val="0"/>
        </w:rPr>
        <w:t xml:space="preserve">” </w:t>
      </w:r>
      <w:r>
        <w:rPr>
          <w:rtl w:val="0"/>
          <w:lang w:val="en-US"/>
        </w:rPr>
        <w:t>That is, a natural person who subscribes exclusively for their own private use and not within the scope of their business or economic activity.</w:t>
      </w:r>
    </w:p>
    <w:p>
      <w:pPr>
        <w:pStyle w:val="Normal.0"/>
      </w:pPr>
      <w:r>
        <w:rPr>
          <w:b w:val="1"/>
          <w:bCs w:val="1"/>
          <w:rtl w:val="0"/>
          <w:lang w:val="pt-PT"/>
        </w:rPr>
        <w:t>Visitor:</w:t>
      </w:r>
      <w:r>
        <w:rPr>
          <w:rtl w:val="0"/>
          <w:lang w:val="en-US"/>
        </w:rPr>
        <w:t xml:space="preserve"> A natural person or legal entity visiting the website / mobile application for browsing purposes.</w:t>
      </w:r>
    </w:p>
    <w:p>
      <w:pPr>
        <w:pStyle w:val="Normal.0"/>
      </w:pPr>
      <w:r>
        <w:rPr>
          <w:b w:val="1"/>
          <w:bCs w:val="1"/>
          <w:rtl w:val="0"/>
          <w:lang w:val="en-US"/>
        </w:rPr>
        <w:t>User:</w:t>
      </w:r>
      <w:r>
        <w:rPr>
          <w:rtl w:val="0"/>
          <w:lang w:val="en-US"/>
        </w:rPr>
        <w:t xml:space="preserve"> A natural or legal person registered on the website / mobile application who does not qualify as a Subscriber.</w:t>
      </w:r>
    </w:p>
    <w:p>
      <w:pPr>
        <w:pStyle w:val="Normal.0"/>
      </w:pPr>
      <w:r>
        <w:rPr>
          <w:b w:val="1"/>
          <w:bCs w:val="1"/>
          <w:rtl w:val="0"/>
          <w:lang w:val="en-US"/>
        </w:rPr>
        <w:t>Website:</w:t>
      </w:r>
      <w:r>
        <w:rPr>
          <w:rtl w:val="0"/>
          <w:lang w:val="en-US"/>
        </w:rPr>
        <w:t xml:space="preserve"> The website operated by the Service Provider at the internet address </w:t>
      </w:r>
      <w:r>
        <w:rPr>
          <w:rStyle w:val="Hyperlink.0"/>
        </w:rPr>
        <w:fldChar w:fldCharType="begin" w:fldLock="0"/>
      </w:r>
      <w:r>
        <w:rPr>
          <w:rStyle w:val="Hyperlink.0"/>
        </w:rPr>
        <w:instrText xml:space="preserve"> HYPERLINK "https://www.bookbase.app"</w:instrText>
      </w:r>
      <w:r>
        <w:rPr>
          <w:rStyle w:val="Hyperlink.0"/>
        </w:rPr>
        <w:fldChar w:fldCharType="separate" w:fldLock="0"/>
      </w:r>
      <w:r>
        <w:rPr>
          <w:rStyle w:val="Hyperlink.0"/>
          <w:rtl w:val="0"/>
          <w:lang w:val="en-US"/>
        </w:rPr>
        <w:t>https://www.bookbase.app</w:t>
      </w:r>
      <w:r>
        <w:rPr/>
        <w:fldChar w:fldCharType="end" w:fldLock="0"/>
      </w:r>
      <w:r>
        <w:rPr>
          <w:rtl w:val="0"/>
        </w:rPr>
        <w:t xml:space="preserve"> and also https://thegoal.co</w:t>
      </w:r>
    </w:p>
    <w:p>
      <w:pPr>
        <w:pStyle w:val="Normal.0"/>
      </w:pPr>
      <w:r>
        <w:rPr>
          <w:b w:val="1"/>
          <w:bCs w:val="1"/>
          <w:rtl w:val="0"/>
          <w:lang w:val="en-US"/>
        </w:rPr>
        <w:t>Mobile Application:</w:t>
      </w:r>
      <w:r>
        <w:rPr>
          <w:rtl w:val="0"/>
          <w:lang w:val="en-US"/>
        </w:rPr>
        <w:t xml:space="preserve"> The mobile application named K</w:t>
      </w:r>
      <w:r>
        <w:rPr>
          <w:rtl w:val="0"/>
          <w:lang w:val="sv-SE"/>
        </w:rPr>
        <w:t>ö</w:t>
      </w:r>
      <w:r>
        <w:rPr>
          <w:rtl w:val="0"/>
        </w:rPr>
        <w:t>nyvKlub / BookBase</w:t>
      </w:r>
      <w:r>
        <w:rPr>
          <w:rtl w:val="0"/>
        </w:rPr>
        <w:t xml:space="preserve"> / The Goal</w:t>
      </w:r>
      <w:r>
        <w:rPr>
          <w:rtl w:val="0"/>
          <w:lang w:val="en-US"/>
        </w:rPr>
        <w:t>, available for download from the App Store and Google Play.</w:t>
      </w:r>
    </w:p>
    <w:p>
      <w:pPr>
        <w:pStyle w:val="Normal.0"/>
      </w:pPr>
      <w:r>
        <w:rPr>
          <w:b w:val="1"/>
          <w:bCs w:val="1"/>
          <w:rtl w:val="0"/>
          <w:lang w:val="en-US"/>
        </w:rPr>
        <w:t>Service:</w:t>
      </w:r>
      <w:r>
        <w:rPr>
          <w:rtl w:val="0"/>
          <w:lang w:val="en-US"/>
        </w:rPr>
        <w:t xml:space="preserve"> The entirety of service(s) provided electronically within a subscription system on the website / mobile application operated by the Service Provider, to which the Subscriber is entitled to access with the content and functionality corresponding to their subscription package during the existence of the subscription relationship.</w:t>
      </w:r>
    </w:p>
    <w:p>
      <w:pPr>
        <w:pStyle w:val="heading 3"/>
      </w:pPr>
      <w:bookmarkStart w:name="applicablelegislation" w:id="5"/>
      <w:r>
        <w:rPr>
          <w:rFonts w:cs="Arial Unicode MS" w:eastAsia="Arial Unicode MS"/>
          <w:rtl w:val="0"/>
          <w:lang w:val="en-US"/>
        </w:rPr>
        <w:t>4. APPLICABLE LEGISLATION</w:t>
      </w:r>
      <w:bookmarkEnd w:id="5"/>
    </w:p>
    <w:p>
      <w:pPr>
        <w:pStyle w:val="Normal.0"/>
      </w:pPr>
      <w:r>
        <w:rPr>
          <w:rtl w:val="0"/>
          <w:lang w:val="en-US"/>
        </w:rPr>
        <w:t>The provisions of the following laws shall apply to matters not regulated in these GTC and to the interpretation of these GTC:</w:t>
      </w:r>
    </w:p>
    <w:p>
      <w:pPr>
        <w:pStyle w:val="Normal.0"/>
        <w:numPr>
          <w:ilvl w:val="0"/>
          <w:numId w:val="2"/>
        </w:numPr>
        <w:rPr>
          <w:lang w:val="en-US"/>
        </w:rPr>
      </w:pPr>
      <w:r>
        <w:rPr>
          <w:rtl w:val="0"/>
          <w:lang w:val="en-US"/>
        </w:rPr>
        <w:t>Regulation (EC) No 593/2008 of the European Parliament and of the Council on the law applicable to contractual obligations (Rome I)</w:t>
      </w:r>
    </w:p>
    <w:p>
      <w:pPr>
        <w:pStyle w:val="Normal.0"/>
        <w:numPr>
          <w:ilvl w:val="0"/>
          <w:numId w:val="2"/>
        </w:numPr>
        <w:rPr>
          <w:lang w:val="en-US"/>
        </w:rPr>
      </w:pPr>
      <w:r>
        <w:rPr>
          <w:rtl w:val="0"/>
          <w:lang w:val="en-US"/>
        </w:rPr>
        <w:t>Directive 2011/83/EU of the European Parliament and of the Council of 25 October 2011 on consumer rights</w:t>
      </w:r>
    </w:p>
    <w:p>
      <w:pPr>
        <w:pStyle w:val="Normal.0"/>
        <w:numPr>
          <w:ilvl w:val="0"/>
          <w:numId w:val="2"/>
        </w:numPr>
        <w:rPr>
          <w:lang w:val="en-US"/>
        </w:rPr>
      </w:pPr>
      <w:r>
        <w:rPr>
          <w:rtl w:val="0"/>
          <w:lang w:val="en-US"/>
        </w:rPr>
        <w:t>Act V of 2013 on the Civil Code (hereinafter: Civil Code)</w:t>
      </w:r>
    </w:p>
    <w:p>
      <w:pPr>
        <w:pStyle w:val="Normal.0"/>
        <w:numPr>
          <w:ilvl w:val="0"/>
          <w:numId w:val="2"/>
        </w:numPr>
        <w:rPr>
          <w:lang w:val="en-US"/>
        </w:rPr>
      </w:pPr>
      <w:r>
        <w:rPr>
          <w:rtl w:val="0"/>
          <w:lang w:val="en-US"/>
        </w:rPr>
        <w:t>Act CVIII of 2001 on certain aspects of electronic commerce services and information society services (hereinafter: E-Commerce Act)</w:t>
      </w:r>
    </w:p>
    <w:p>
      <w:pPr>
        <w:pStyle w:val="Normal.0"/>
        <w:numPr>
          <w:ilvl w:val="0"/>
          <w:numId w:val="2"/>
        </w:numPr>
        <w:rPr>
          <w:lang w:val="en-US"/>
        </w:rPr>
      </w:pPr>
      <w:r>
        <w:rPr>
          <w:rtl w:val="0"/>
          <w:lang w:val="en-US"/>
        </w:rPr>
        <w:t>Act XLVIII of 2008 on the basic conditions and certain restrictions of economic advertising activities (hereinafter: Advertising Act)</w:t>
      </w:r>
    </w:p>
    <w:p>
      <w:pPr>
        <w:pStyle w:val="Normal.0"/>
        <w:numPr>
          <w:ilvl w:val="0"/>
          <w:numId w:val="2"/>
        </w:numPr>
        <w:rPr>
          <w:lang w:val="en-US"/>
        </w:rPr>
      </w:pPr>
      <w:r>
        <w:rPr>
          <w:rtl w:val="0"/>
          <w:lang w:val="en-US"/>
        </w:rPr>
        <w:t>Government Decree 45/2014 (II.26.) on the detailed rules of contracts between consumers and businesses (hereinafter: Government Decree)</w:t>
      </w:r>
    </w:p>
    <w:p>
      <w:pPr>
        <w:pStyle w:val="Normal.0"/>
        <w:numPr>
          <w:ilvl w:val="0"/>
          <w:numId w:val="2"/>
        </w:numPr>
        <w:rPr>
          <w:lang w:val="en-US"/>
        </w:rPr>
      </w:pPr>
      <w:r>
        <w:rPr>
          <w:rtl w:val="0"/>
          <w:lang w:val="en-US"/>
        </w:rPr>
        <w:t>Government Decree 335/2012 (XII.4.) on the provision of postal services (hereinafter: Postal Decree)</w:t>
      </w:r>
    </w:p>
    <w:p>
      <w:pPr>
        <w:pStyle w:val="Normal.0"/>
        <w:numPr>
          <w:ilvl w:val="0"/>
          <w:numId w:val="2"/>
        </w:numPr>
        <w:rPr>
          <w:lang w:val="en-US"/>
        </w:rPr>
      </w:pPr>
      <w:r>
        <w:rPr>
          <w:rtl w:val="0"/>
          <w:lang w:val="en-US"/>
        </w:rPr>
        <w:t>Act CLV of 1997 on consumer protection (hereinafter: Consumer Protection Act)</w:t>
      </w:r>
    </w:p>
    <w:p>
      <w:pPr>
        <w:pStyle w:val="Normal.0"/>
        <w:numPr>
          <w:ilvl w:val="0"/>
          <w:numId w:val="2"/>
        </w:numPr>
        <w:rPr>
          <w:lang w:val="en-US"/>
        </w:rPr>
      </w:pPr>
      <w:r>
        <w:rPr>
          <w:rtl w:val="0"/>
          <w:lang w:val="en-US"/>
        </w:rPr>
        <w:t>Act XLVII of 2008 on the prohibition of unfair commercial practices against consumers</w:t>
      </w:r>
    </w:p>
    <w:p>
      <w:pPr>
        <w:pStyle w:val="Normal.0"/>
        <w:numPr>
          <w:ilvl w:val="0"/>
          <w:numId w:val="2"/>
        </w:numPr>
        <w:rPr>
          <w:lang w:val="en-US"/>
        </w:rPr>
      </w:pPr>
      <w:r>
        <w:rPr>
          <w:rtl w:val="0"/>
          <w:lang w:val="en-US"/>
        </w:rPr>
        <w:t>Act CXXX of 2016 on the Code of Civil Procedure (hereinafter: CCP)</w:t>
      </w:r>
    </w:p>
    <w:p>
      <w:pPr>
        <w:pStyle w:val="Normal.0"/>
        <w:numPr>
          <w:ilvl w:val="0"/>
          <w:numId w:val="2"/>
        </w:numPr>
        <w:rPr>
          <w:lang w:val="en-US"/>
        </w:rPr>
      </w:pPr>
      <w:r>
        <w:rPr>
          <w:rtl w:val="0"/>
          <w:lang w:val="en-US"/>
        </w:rPr>
        <w:t>Act C of 2000 on accounting (hereinafter: Accounting Act)</w:t>
      </w:r>
    </w:p>
    <w:p>
      <w:pPr>
        <w:pStyle w:val="heading 2"/>
      </w:pPr>
      <w:bookmarkStart w:name="ii.generalinformation" w:id="6"/>
      <w:r>
        <w:rPr>
          <w:rFonts w:cs="Arial Unicode MS" w:eastAsia="Arial Unicode MS"/>
          <w:rtl w:val="0"/>
          <w:lang w:val="de-DE"/>
        </w:rPr>
        <w:t>II. GENERAL INFORMATION</w:t>
      </w:r>
      <w:bookmarkEnd w:id="6"/>
    </w:p>
    <w:p>
      <w:pPr>
        <w:pStyle w:val="heading 3"/>
      </w:pPr>
      <w:bookmarkStart w:name="entryintoforceandamendmentofterms" w:id="7"/>
      <w:r>
        <w:rPr>
          <w:rFonts w:cs="Arial Unicode MS" w:eastAsia="Arial Unicode MS"/>
          <w:rtl w:val="0"/>
          <w:lang w:val="en-US"/>
        </w:rPr>
        <w:t>1. Entry into Force and Amendment of Terms</w:t>
      </w:r>
      <w:bookmarkEnd w:id="7"/>
    </w:p>
    <w:p>
      <w:pPr>
        <w:pStyle w:val="Normal.0"/>
      </w:pPr>
      <w:r>
        <w:rPr>
          <w:rtl w:val="0"/>
          <w:lang w:val="en-US"/>
        </w:rPr>
        <w:t>These GTC shall enter into force on 9 February 2026. The Service Provider is entitled to unilaterally amend the GTC at any time. The Service Provider is obliged to draw the Subscriber</w:t>
      </w:r>
      <w:r>
        <w:rPr>
          <w:rtl w:val="1"/>
        </w:rPr>
        <w:t>’</w:t>
      </w:r>
      <w:r>
        <w:rPr>
          <w:rtl w:val="0"/>
        </w:rPr>
        <w:t>s / User</w:t>
      </w:r>
      <w:r>
        <w:rPr>
          <w:rtl w:val="1"/>
        </w:rPr>
        <w:t>’</w:t>
      </w:r>
      <w:r>
        <w:rPr>
          <w:rtl w:val="0"/>
          <w:lang w:val="en-US"/>
        </w:rPr>
        <w:t>s attention separately to the amended GTC on the website / in the mobile application at least 5 days prior to its entry into force. The 5-day deadline shall not apply to the right to modify prices.</w:t>
      </w:r>
    </w:p>
    <w:p>
      <w:pPr>
        <w:pStyle w:val="heading 3"/>
      </w:pPr>
      <w:bookmarkStart w:name="righttomaintenanceanddevelopment" w:id="8"/>
      <w:r>
        <w:rPr>
          <w:rFonts w:cs="Arial Unicode MS" w:eastAsia="Arial Unicode MS"/>
          <w:rtl w:val="0"/>
          <w:lang w:val="en-US"/>
        </w:rPr>
        <w:t>2. Right to Maintenance and Development</w:t>
      </w:r>
      <w:bookmarkEnd w:id="8"/>
    </w:p>
    <w:p>
      <w:pPr>
        <w:pStyle w:val="Normal.0"/>
      </w:pPr>
      <w:r>
        <w:rPr>
          <w:rtl w:val="0"/>
          <w:lang w:val="en-US"/>
        </w:rPr>
        <w:t>The Service Provider reserves the right to maintain, modernize, develop, etc. the website / mobile application at any time.</w:t>
      </w:r>
    </w:p>
    <w:p>
      <w:pPr>
        <w:pStyle w:val="heading 3"/>
      </w:pPr>
      <w:bookmarkStart w:name="languages" w:id="9"/>
      <w:r>
        <w:rPr>
          <w:rFonts w:cs="Arial Unicode MS" w:eastAsia="Arial Unicode MS"/>
          <w:rtl w:val="0"/>
          <w:lang w:val="en-US"/>
        </w:rPr>
        <w:t>3. Languages</w:t>
      </w:r>
      <w:bookmarkEnd w:id="9"/>
    </w:p>
    <w:p>
      <w:pPr>
        <w:pStyle w:val="Normal.0"/>
      </w:pPr>
      <w:r>
        <w:rPr>
          <w:rtl w:val="0"/>
          <w:lang w:val="en-US"/>
        </w:rPr>
        <w:t>The website / mobile application is available in Hungarian, English, and Dutch.</w:t>
      </w:r>
    </w:p>
    <w:p>
      <w:pPr>
        <w:pStyle w:val="heading 3"/>
      </w:pPr>
      <w:bookmarkStart w:name="accesswithoutregistration" w:id="10"/>
      <w:r>
        <w:rPr>
          <w:rFonts w:cs="Arial Unicode MS" w:eastAsia="Arial Unicode MS"/>
          <w:rtl w:val="0"/>
          <w:lang w:val="en-US"/>
        </w:rPr>
        <w:t>4. Access Without Registration</w:t>
      </w:r>
      <w:bookmarkEnd w:id="10"/>
    </w:p>
    <w:p>
      <w:pPr>
        <w:pStyle w:val="Normal.0"/>
      </w:pPr>
      <w:r>
        <w:rPr>
          <w:rtl w:val="0"/>
          <w:lang w:val="en-US"/>
        </w:rPr>
        <w:t>The Service Provider ensures that Visitors may access the website without prior and mandatory registration. Browsing the website and viewing the related textual content likewise does not require registration. Registration is required for substantive access to the mobile application following download.</w:t>
      </w:r>
    </w:p>
    <w:p>
      <w:pPr>
        <w:pStyle w:val="heading 3"/>
      </w:pPr>
      <w:bookmarkStart w:name="subscriptionsystem" w:id="11"/>
      <w:r>
        <w:rPr>
          <w:rFonts w:cs="Arial Unicode MS" w:eastAsia="Arial Unicode MS"/>
          <w:rtl w:val="0"/>
          <w:lang w:val="en-US"/>
        </w:rPr>
        <w:t>5. Subscription System</w:t>
      </w:r>
      <w:bookmarkEnd w:id="11"/>
    </w:p>
    <w:p>
      <w:pPr>
        <w:pStyle w:val="Normal.0"/>
      </w:pPr>
      <w:r>
        <w:rPr>
          <w:rtl w:val="0"/>
          <w:lang w:val="en-US"/>
        </w:rPr>
        <w:t>The Service Provider provides the Service under a subscription system. The Subscriber is entitled to use the Service within the framework of various subscription packages. The Service Provider publishes the content, duration, and fee of each subscription package in a separate section on the website / in the mobile application.</w:t>
      </w:r>
    </w:p>
    <w:p>
      <w:pPr>
        <w:pStyle w:val="heading 3"/>
      </w:pPr>
      <w:bookmarkStart w:name="X78f9c85a323a64c80c356fd8aa6ec2154755613" w:id="12"/>
      <w:r>
        <w:rPr>
          <w:rFonts w:cs="Arial Unicode MS" w:eastAsia="Arial Unicode MS"/>
          <w:rtl w:val="0"/>
          <w:lang w:val="en-US"/>
        </w:rPr>
        <w:t>6. Modification of Subscription Fees and Packages</w:t>
      </w:r>
      <w:bookmarkEnd w:id="12"/>
    </w:p>
    <w:p>
      <w:pPr>
        <w:pStyle w:val="Normal.0"/>
      </w:pPr>
      <w:r>
        <w:rPr>
          <w:rtl w:val="0"/>
          <w:lang w:val="en-US"/>
        </w:rPr>
        <w:t>The Service Provider reserves the right to modify subscription fees and packages at any time. The fee modification shall not affect already concluded and existing subscription relationships until their expiry; it shall apply exclusively to newly concluded and renewed subscriptions.</w:t>
      </w:r>
    </w:p>
    <w:p>
      <w:pPr>
        <w:pStyle w:val="heading 3"/>
      </w:pPr>
      <w:bookmarkStart w:name="pricing" w:id="13"/>
      <w:r>
        <w:rPr>
          <w:rFonts w:cs="Arial Unicode MS" w:eastAsia="Arial Unicode MS"/>
          <w:rtl w:val="0"/>
          <w:lang w:val="en-US"/>
        </w:rPr>
        <w:t>7. Pricing</w:t>
      </w:r>
      <w:bookmarkEnd w:id="13"/>
    </w:p>
    <w:p>
      <w:pPr>
        <w:pStyle w:val="Normal.0"/>
      </w:pPr>
      <w:r>
        <w:rPr>
          <w:rtl w:val="0"/>
          <w:lang w:val="en-US"/>
        </w:rPr>
        <w:t>The displayed service prices are gross consumer prices inclusive of VAT, displayed in Hungarian forints.</w:t>
      </w:r>
    </w:p>
    <w:p>
      <w:pPr>
        <w:pStyle w:val="heading 3"/>
      </w:pPr>
      <w:bookmarkStart w:name="availabilityofservice" w:id="14"/>
      <w:r>
        <w:rPr>
          <w:rFonts w:cs="Arial Unicode MS" w:eastAsia="Arial Unicode MS"/>
          <w:rtl w:val="0"/>
          <w:lang w:val="en-US"/>
        </w:rPr>
        <w:t>8. Availability of Service</w:t>
      </w:r>
      <w:bookmarkEnd w:id="14"/>
    </w:p>
    <w:p>
      <w:pPr>
        <w:pStyle w:val="Normal.0"/>
      </w:pPr>
      <w:r>
        <w:rPr>
          <w:rtl w:val="0"/>
          <w:lang w:val="en-US"/>
        </w:rPr>
        <w:t>The Service on the website / in the mobile application is continuously available to Subscribers 24 hours a day. However, in the event of exceptional occurrences, the website / mobile application may become partially or fully inoperative, in which cases the Service Provider excludes all liability.</w:t>
      </w:r>
    </w:p>
    <w:p>
      <w:pPr>
        <w:pStyle w:val="heading 3"/>
      </w:pPr>
      <w:bookmarkStart w:name="X6603adc6c8f179eca4d52dafece864fd071cfb8" w:id="15"/>
      <w:r>
        <w:rPr>
          <w:rFonts w:cs="Arial Unicode MS" w:eastAsia="Arial Unicode MS"/>
          <w:rtl w:val="0"/>
          <w:lang w:val="en-US"/>
        </w:rPr>
        <w:t>9. Subscriber</w:t>
      </w:r>
      <w:r>
        <w:rPr>
          <w:rFonts w:cs="Arial Unicode MS" w:eastAsia="Arial Unicode MS" w:hint="default"/>
          <w:rtl w:val="1"/>
        </w:rPr>
        <w:t>’</w:t>
      </w:r>
      <w:r>
        <w:rPr>
          <w:rFonts w:cs="Arial Unicode MS" w:eastAsia="Arial Unicode MS"/>
          <w:rtl w:val="0"/>
          <w:lang w:val="en-US"/>
        </w:rPr>
        <w:t>s Obligation to Maintain E-mail Account</w:t>
      </w:r>
      <w:bookmarkEnd w:id="15"/>
    </w:p>
    <w:p>
      <w:pPr>
        <w:pStyle w:val="Normal.0"/>
      </w:pPr>
      <w:r>
        <w:rPr>
          <w:rtl w:val="0"/>
          <w:lang w:val="en-US"/>
        </w:rPr>
        <w:t>The Subscriber is obliged to maintain the e-mail account provided by them (ensuring the availability of storage space required for registration-related correspondence sent by the Service Provider, and detecting if e-mails sent by the Service Provider end up in the Spam folder). The Service Provider excludes liability for any claims or damages arising from the failure to comply with these obligations.</w:t>
      </w:r>
    </w:p>
    <w:p>
      <w:pPr>
        <w:pStyle w:val="heading 2"/>
      </w:pPr>
      <w:bookmarkStart w:name="iii.registrationsubscriptionprocess" w:id="16"/>
      <w:r>
        <w:rPr>
          <w:rFonts w:cs="Arial Unicode MS" w:eastAsia="Arial Unicode MS"/>
          <w:rtl w:val="0"/>
          <w:lang w:val="en-US"/>
        </w:rPr>
        <w:t>III. REGISTRATION, SUBSCRIPTION PROCESS</w:t>
      </w:r>
      <w:bookmarkEnd w:id="16"/>
    </w:p>
    <w:p>
      <w:pPr>
        <w:pStyle w:val="heading 3"/>
      </w:pPr>
      <w:bookmarkStart w:name="Xd375bbf43c318f0883378d4ace839c238f60599" w:id="17"/>
      <w:r>
        <w:rPr>
          <w:rFonts w:cs="Arial Unicode MS" w:eastAsia="Arial Unicode MS"/>
          <w:rtl w:val="0"/>
          <w:lang w:val="en-US"/>
        </w:rPr>
        <w:t>1. Full Access Requires Registration and Subscription</w:t>
      </w:r>
      <w:bookmarkEnd w:id="17"/>
    </w:p>
    <w:p>
      <w:pPr>
        <w:pStyle w:val="Normal.0"/>
      </w:pPr>
      <w:r>
        <w:rPr>
          <w:rtl w:val="0"/>
          <w:lang w:val="en-US"/>
        </w:rPr>
        <w:t>Full access to the website / mobile application requires registration and subscription.</w:t>
      </w:r>
    </w:p>
    <w:p>
      <w:pPr>
        <w:pStyle w:val="heading 3"/>
      </w:pPr>
      <w:bookmarkStart w:name="registrationprocess" w:id="18"/>
      <w:r>
        <w:rPr>
          <w:rFonts w:cs="Arial Unicode MS" w:eastAsia="Arial Unicode MS"/>
          <w:rtl w:val="0"/>
          <w:lang w:val="de-DE"/>
        </w:rPr>
        <w:t>2. Registration Process</w:t>
      </w:r>
      <w:bookmarkEnd w:id="18"/>
    </w:p>
    <w:p>
      <w:pPr>
        <w:pStyle w:val="Normal.0"/>
      </w:pPr>
      <w:r>
        <w:rPr>
          <w:rtl w:val="0"/>
          <w:lang w:val="en-US"/>
        </w:rPr>
        <w:t>Registration is possible on the website / mobile application interface. Data requested during registration: Natural person</w:t>
      </w:r>
      <w:r>
        <w:rPr>
          <w:rtl w:val="1"/>
        </w:rPr>
        <w:t>’</w:t>
      </w:r>
      <w:r>
        <w:rPr>
          <w:rtl w:val="0"/>
          <w:lang w:val="en-US"/>
        </w:rPr>
        <w:t>s name, e-mail address.</w:t>
      </w:r>
    </w:p>
    <w:p>
      <w:pPr>
        <w:pStyle w:val="heading 3"/>
      </w:pPr>
      <w:bookmarkStart w:name="obligationtoprovidetruthfuldata" w:id="19"/>
      <w:r>
        <w:rPr>
          <w:rFonts w:cs="Arial Unicode MS" w:eastAsia="Arial Unicode MS"/>
          <w:rtl w:val="0"/>
          <w:lang w:val="en-US"/>
        </w:rPr>
        <w:t>3. Obligation to Provide Truthful Data</w:t>
      </w:r>
      <w:bookmarkEnd w:id="19"/>
    </w:p>
    <w:p>
      <w:pPr>
        <w:pStyle w:val="Normal.0"/>
      </w:pPr>
      <w:r>
        <w:rPr>
          <w:rtl w:val="0"/>
          <w:lang w:val="en-US"/>
        </w:rPr>
        <w:t>The Subscriber is obliged to provide truthful data during registration.</w:t>
      </w:r>
    </w:p>
    <w:p>
      <w:pPr>
        <w:pStyle w:val="heading 3"/>
      </w:pPr>
      <w:bookmarkStart w:name="X3b1d68dfb16c6e11b91771d5331e036835adb9d" w:id="20"/>
      <w:r>
        <w:rPr>
          <w:rFonts w:cs="Arial Unicode MS" w:eastAsia="Arial Unicode MS"/>
          <w:rtl w:val="0"/>
          <w:lang w:val="en-US"/>
        </w:rPr>
        <w:t>4. Exclusion of Liability for Inaccurate Data</w:t>
      </w:r>
      <w:bookmarkEnd w:id="20"/>
    </w:p>
    <w:p>
      <w:pPr>
        <w:pStyle w:val="Normal.0"/>
      </w:pPr>
      <w:r>
        <w:rPr>
          <w:rtl w:val="0"/>
          <w:lang w:val="en-US"/>
        </w:rPr>
        <w:t>If the Subscriber provides inaccurate data, the Service Provider excludes liability for any damages that may arise from this.</w:t>
      </w:r>
    </w:p>
    <w:p>
      <w:pPr>
        <w:pStyle w:val="heading 3"/>
      </w:pPr>
      <w:bookmarkStart w:name="conditionsofregistration" w:id="21"/>
      <w:r>
        <w:rPr>
          <w:rFonts w:cs="Arial Unicode MS" w:eastAsia="Arial Unicode MS"/>
          <w:rtl w:val="0"/>
          <w:lang w:val="en-US"/>
        </w:rPr>
        <w:t>5. Conditions of Registration</w:t>
      </w:r>
      <w:bookmarkEnd w:id="21"/>
    </w:p>
    <w:p>
      <w:pPr>
        <w:pStyle w:val="Normal.0"/>
      </w:pPr>
      <w:r>
        <w:rPr>
          <w:rtl w:val="0"/>
          <w:lang w:val="en-US"/>
        </w:rPr>
        <w:t>The condition of Registration is the acceptance of these GTC and the Privacy Policy, and consent to the processing of personal data.</w:t>
      </w:r>
    </w:p>
    <w:p>
      <w:pPr>
        <w:pStyle w:val="heading 3"/>
      </w:pPr>
      <w:bookmarkStart w:name="Xb334ef0d71117c064f618375ab73b1b0a96df59" w:id="22"/>
      <w:r>
        <w:rPr>
          <w:rFonts w:cs="Arial Unicode MS" w:eastAsia="Arial Unicode MS"/>
          <w:rtl w:val="0"/>
          <w:lang w:val="en-US"/>
        </w:rPr>
        <w:t>6. Recommendations for Subscription Packages</w:t>
      </w:r>
      <w:bookmarkEnd w:id="22"/>
    </w:p>
    <w:p>
      <w:pPr>
        <w:pStyle w:val="Normal.0"/>
      </w:pPr>
      <w:r>
        <w:rPr>
          <w:rtl w:val="0"/>
          <w:lang w:val="en-US"/>
        </w:rPr>
        <w:t>Following the provision of data, the system may ask additional questions in order to recommend the most suitable subscription package for the Subscriber.</w:t>
      </w:r>
    </w:p>
    <w:p>
      <w:pPr>
        <w:pStyle w:val="heading 3"/>
      </w:pPr>
      <w:bookmarkStart w:name="paymentmethodwebsite" w:id="23"/>
      <w:r>
        <w:rPr>
          <w:rFonts w:cs="Arial Unicode MS" w:eastAsia="Arial Unicode MS"/>
          <w:rtl w:val="0"/>
          <w:lang w:val="en-US"/>
        </w:rPr>
        <w:t>7. Payment Method - Website</w:t>
      </w:r>
      <w:bookmarkEnd w:id="23"/>
    </w:p>
    <w:p>
      <w:pPr>
        <w:pStyle w:val="Normal.0"/>
      </w:pPr>
      <w:r>
        <w:rPr>
          <w:rtl w:val="0"/>
          <w:lang w:val="en-US"/>
        </w:rPr>
        <w:t xml:space="preserve">The Subscriber may pay the Service fee via the website by bank card. In this case, the system automatically redirects the Subscriber to the Stripe bank card payment interface. Following successful payment, the system automatically returns to the website interface, and the message </w:t>
      </w:r>
      <w:r>
        <w:rPr>
          <w:rtl w:val="1"/>
          <w:lang w:val="ar-SA" w:bidi="ar-SA"/>
        </w:rPr>
        <w:t>“</w:t>
      </w:r>
      <w:r>
        <w:rPr>
          <w:rtl w:val="0"/>
          <w:lang w:val="en-US"/>
        </w:rPr>
        <w:t>Successful transaction</w:t>
      </w:r>
      <w:r>
        <w:rPr>
          <w:rtl w:val="0"/>
        </w:rPr>
        <w:t xml:space="preserve">” </w:t>
      </w:r>
      <w:r>
        <w:rPr>
          <w:rtl w:val="0"/>
          <w:lang w:val="en-US"/>
        </w:rPr>
        <w:t xml:space="preserve">appears simultaneously. In the event of unsuccessful payment, the system displays the message </w:t>
      </w:r>
      <w:r>
        <w:rPr>
          <w:rtl w:val="1"/>
          <w:lang w:val="ar-SA" w:bidi="ar-SA"/>
        </w:rPr>
        <w:t>“</w:t>
      </w:r>
      <w:r>
        <w:rPr>
          <w:rtl w:val="0"/>
          <w:lang w:val="en-US"/>
        </w:rPr>
        <w:t>Unsuccessful transaction,</w:t>
      </w:r>
      <w:r>
        <w:rPr>
          <w:rtl w:val="0"/>
        </w:rPr>
        <w:t xml:space="preserve">” </w:t>
      </w:r>
      <w:r>
        <w:rPr>
          <w:rtl w:val="0"/>
          <w:lang w:val="en-US"/>
        </w:rPr>
        <w:t>and the Subscriber has the option to repeat the payment process. Following successful payment, the Service Provider sends the invoice to the Subscriber.</w:t>
      </w:r>
    </w:p>
    <w:p>
      <w:pPr>
        <w:pStyle w:val="heading 3"/>
      </w:pPr>
      <w:bookmarkStart w:name="paymentmethodmobileapplication" w:id="24"/>
      <w:r>
        <w:rPr>
          <w:rFonts w:cs="Arial Unicode MS" w:eastAsia="Arial Unicode MS"/>
          <w:rtl w:val="0"/>
          <w:lang w:val="en-US"/>
        </w:rPr>
        <w:t>8. Payment Method - Mobile Application</w:t>
      </w:r>
      <w:bookmarkEnd w:id="24"/>
    </w:p>
    <w:p>
      <w:pPr>
        <w:pStyle w:val="Normal.0"/>
      </w:pPr>
      <w:r>
        <w:rPr>
          <w:rtl w:val="0"/>
          <w:lang w:val="en-US"/>
        </w:rPr>
        <w:t>In the case of the mobile application, the Subscriber may pay the Service fee through the bank card payment interfaces provided by Google Play and Apple Pay, respectively. The payment process takes place in the manner determined by Google Play and Apple Pay, respectively, and the application notifies the Subscriber of the successful transaction. Following successful payment, Google Play or Apple Pay sends the invoice to the Subscriber.</w:t>
      </w:r>
    </w:p>
    <w:p>
      <w:pPr>
        <w:pStyle w:val="heading 3"/>
      </w:pPr>
      <w:bookmarkStart w:name="logindatafollowingpayment" w:id="25"/>
      <w:r>
        <w:rPr>
          <w:rFonts w:cs="Arial Unicode MS" w:eastAsia="Arial Unicode MS"/>
          <w:rtl w:val="0"/>
          <w:lang w:val="en-US"/>
        </w:rPr>
        <w:t>9. Login Data Following Payment</w:t>
      </w:r>
      <w:bookmarkEnd w:id="25"/>
    </w:p>
    <w:p>
      <w:pPr>
        <w:pStyle w:val="Normal.0"/>
      </w:pPr>
      <w:r>
        <w:rPr>
          <w:rtl w:val="0"/>
          <w:lang w:val="en-US"/>
        </w:rPr>
        <w:t>After paying the subscription fee, the Subscriber receives by e-mail the data necessary for logging into the Service, which they are entitled to use exclusively for their own use.</w:t>
      </w:r>
    </w:p>
    <w:p>
      <w:pPr>
        <w:pStyle w:val="heading 3"/>
      </w:pPr>
      <w:bookmarkStart w:name="onetimepassword" w:id="26"/>
      <w:r>
        <w:rPr>
          <w:rFonts w:cs="Arial Unicode MS" w:eastAsia="Arial Unicode MS"/>
          <w:rtl w:val="0"/>
          <w:lang w:val="de-DE"/>
        </w:rPr>
        <w:t>10. One-Time Password</w:t>
      </w:r>
      <w:bookmarkEnd w:id="26"/>
    </w:p>
    <w:p>
      <w:pPr>
        <w:pStyle w:val="Normal.0"/>
      </w:pPr>
      <w:r>
        <w:rPr>
          <w:rtl w:val="0"/>
          <w:lang w:val="en-US"/>
        </w:rPr>
        <w:t>Each time the Subscriber logs in, they receive a one-time password to the e-mail address they provided, which is valid for 10 minutes from the time it is sent and may be used exclusively for the purpose of logging in.</w:t>
      </w:r>
    </w:p>
    <w:p>
      <w:pPr>
        <w:pStyle w:val="heading 3"/>
      </w:pPr>
      <w:bookmarkStart w:name="rightofwithdrawal" w:id="27"/>
      <w:r>
        <w:rPr>
          <w:rFonts w:cs="Arial Unicode MS" w:eastAsia="Arial Unicode MS"/>
          <w:rtl w:val="0"/>
          <w:lang w:val="en-US"/>
        </w:rPr>
        <w:t>11. Right of Withdrawal</w:t>
      </w:r>
      <w:bookmarkEnd w:id="27"/>
    </w:p>
    <w:p>
      <w:pPr>
        <w:pStyle w:val="Normal.0"/>
      </w:pPr>
      <w:r>
        <w:rPr>
          <w:rtl w:val="0"/>
          <w:lang w:val="en-US"/>
        </w:rPr>
        <w:t>The Subscriber is entitled to cancel the subscription without providing a reason within 7 (seven) days following the subscription. In this case, the Service Provider shall refund the subscription fee paid by the Subscriber in full, provided that the Subscriber has listened to no more than 3 books within the framework of the Service.</w:t>
      </w:r>
    </w:p>
    <w:p>
      <w:pPr>
        <w:pStyle w:val="heading 3"/>
      </w:pPr>
      <w:bookmarkStart w:name="cancellationandautomaticrenewal" w:id="28"/>
      <w:r>
        <w:rPr>
          <w:rFonts w:cs="Arial Unicode MS" w:eastAsia="Arial Unicode MS"/>
          <w:rtl w:val="0"/>
          <w:lang w:val="en-US"/>
        </w:rPr>
        <w:t>12. Cancellation and Automatic Renewal</w:t>
      </w:r>
      <w:bookmarkEnd w:id="28"/>
    </w:p>
    <w:p>
      <w:pPr>
        <w:pStyle w:val="Normal.0"/>
      </w:pPr>
      <w:r>
        <w:rPr>
          <w:rtl w:val="0"/>
          <w:lang w:val="en-US"/>
        </w:rPr>
        <w:t>The Subscriber is entitled to cancel the Service at any time; in the absence thereof, the subscription shall be automatically renewed upon the expiry of the subscription period in accordance with the pricing in effect at the given time.</w:t>
      </w:r>
    </w:p>
    <w:p>
      <w:pPr>
        <w:pStyle w:val="heading 3"/>
      </w:pPr>
      <w:bookmarkStart w:name="nonpayment" w:id="29"/>
      <w:r>
        <w:rPr>
          <w:rFonts w:cs="Arial Unicode MS" w:eastAsia="Arial Unicode MS"/>
          <w:rtl w:val="0"/>
          <w:lang w:val="en-US"/>
        </w:rPr>
        <w:t>13. Non-Payment</w:t>
      </w:r>
      <w:bookmarkEnd w:id="29"/>
    </w:p>
    <w:p>
      <w:pPr>
        <w:pStyle w:val="Normal.0"/>
      </w:pPr>
      <w:r>
        <w:rPr>
          <w:rtl w:val="0"/>
          <w:lang w:val="en-US"/>
        </w:rPr>
        <w:t>If the Subscriber fails to pay the subscription fee, the Service Provider is entitled to restrict or suspend access to the Service.</w:t>
      </w:r>
    </w:p>
    <w:p>
      <w:pPr>
        <w:pStyle w:val="heading 3"/>
      </w:pPr>
      <w:bookmarkStart w:name="noproportionalrefund" w:id="30"/>
      <w:r>
        <w:rPr>
          <w:rFonts w:cs="Arial Unicode MS" w:eastAsia="Arial Unicode MS"/>
          <w:rtl w:val="0"/>
          <w:lang w:val="en-US"/>
        </w:rPr>
        <w:t>14. No Proportional Refund</w:t>
      </w:r>
      <w:bookmarkEnd w:id="30"/>
    </w:p>
    <w:p>
      <w:pPr>
        <w:pStyle w:val="Normal.0"/>
      </w:pPr>
      <w:r>
        <w:rPr>
          <w:rtl w:val="0"/>
          <w:lang w:val="en-US"/>
        </w:rPr>
        <w:t>The Subscriber acknowledges that there is no possibility of proportional or partial refund of the subscription fee even in the case of partial use of the Service, unless the Service Provider provides otherwise.</w:t>
      </w:r>
    </w:p>
    <w:p>
      <w:pPr>
        <w:pStyle w:val="heading 3"/>
      </w:pPr>
      <w:bookmarkStart w:name="commencementoffulluse" w:id="31"/>
      <w:r>
        <w:rPr>
          <w:rFonts w:cs="Arial Unicode MS" w:eastAsia="Arial Unicode MS"/>
          <w:rtl w:val="0"/>
          <w:lang w:val="en-US"/>
        </w:rPr>
        <w:t>15. Commencement of Full Use</w:t>
      </w:r>
      <w:bookmarkEnd w:id="31"/>
    </w:p>
    <w:p>
      <w:pPr>
        <w:pStyle w:val="Normal.0"/>
      </w:pPr>
      <w:r>
        <w:rPr>
          <w:rtl w:val="0"/>
          <w:lang w:val="en-US"/>
        </w:rPr>
        <w:t>The Subscriber is able to commence full use of the Service after receiving the login data.</w:t>
      </w:r>
    </w:p>
    <w:p>
      <w:pPr>
        <w:pStyle w:val="heading 2"/>
      </w:pPr>
      <w:bookmarkStart w:name="iv.reserved" w:id="32"/>
      <w:r>
        <w:rPr>
          <w:rFonts w:cs="Arial Unicode MS" w:eastAsia="Arial Unicode MS"/>
          <w:rtl w:val="0"/>
          <w:lang w:val="en-US"/>
        </w:rPr>
        <w:t>IV. [RESERVED]</w:t>
      </w:r>
      <w:bookmarkEnd w:id="32"/>
    </w:p>
    <w:p>
      <w:pPr>
        <w:pStyle w:val="heading 2"/>
      </w:pPr>
      <w:bookmarkStart w:name="v.copyright" w:id="33"/>
      <w:r>
        <w:rPr>
          <w:rFonts w:cs="Arial Unicode MS" w:eastAsia="Arial Unicode MS"/>
          <w:rtl w:val="0"/>
          <w:lang w:val="en-US"/>
        </w:rPr>
        <w:t>V. COPYRIGHT</w:t>
      </w:r>
      <w:bookmarkEnd w:id="33"/>
    </w:p>
    <w:p>
      <w:pPr>
        <w:pStyle w:val="heading 3"/>
      </w:pPr>
      <w:bookmarkStart w:name="copyrightprotection" w:id="34"/>
      <w:r>
        <w:rPr>
          <w:rFonts w:cs="Arial Unicode MS" w:eastAsia="Arial Unicode MS"/>
          <w:rtl w:val="0"/>
          <w:lang w:val="en-US"/>
        </w:rPr>
        <w:t>1. Copyright Protection</w:t>
      </w:r>
      <w:bookmarkEnd w:id="34"/>
    </w:p>
    <w:p>
      <w:pPr>
        <w:pStyle w:val="Normal.0"/>
      </w:pPr>
      <w:r>
        <w:rPr>
          <w:rtl w:val="0"/>
          <w:lang w:val="en-US"/>
        </w:rPr>
        <w:t>All content available within the framework of the Service is protected by copyright, and the copyrights thereto belong to the Service Provider and/or the rights holder in a contractual relationship with the Service Provider.</w:t>
      </w:r>
    </w:p>
    <w:p>
      <w:pPr>
        <w:pStyle w:val="heading 3"/>
      </w:pPr>
      <w:bookmarkStart w:name="rightofuse" w:id="35"/>
      <w:r>
        <w:rPr>
          <w:rFonts w:cs="Arial Unicode MS" w:eastAsia="Arial Unicode MS"/>
          <w:rtl w:val="0"/>
          <w:lang w:val="en-US"/>
        </w:rPr>
        <w:t>2. Right of Use</w:t>
      </w:r>
      <w:bookmarkEnd w:id="35"/>
    </w:p>
    <w:p>
      <w:pPr>
        <w:pStyle w:val="Normal.0"/>
      </w:pPr>
      <w:r>
        <w:rPr>
          <w:rtl w:val="0"/>
          <w:lang w:val="en-US"/>
        </w:rPr>
        <w:t>The Subscriber is entitled to view the content available within the framework of the Service exclusively for their own personal use, during the existence of the subscription relationship.</w:t>
      </w:r>
    </w:p>
    <w:p>
      <w:pPr>
        <w:pStyle w:val="heading 3"/>
      </w:pPr>
      <w:bookmarkStart w:name="prohibiteduses" w:id="36"/>
      <w:r>
        <w:rPr>
          <w:rFonts w:cs="Arial Unicode MS" w:eastAsia="Arial Unicode MS"/>
          <w:rtl w:val="0"/>
          <w:lang w:val="en-US"/>
        </w:rPr>
        <w:t>3. Prohibited Uses</w:t>
      </w:r>
      <w:bookmarkEnd w:id="36"/>
    </w:p>
    <w:p>
      <w:pPr>
        <w:pStyle w:val="Normal.0"/>
      </w:pPr>
      <w:r>
        <w:rPr>
          <w:rtl w:val="0"/>
          <w:lang w:val="en-US"/>
        </w:rPr>
        <w:t>The Subscriber is specifically not entitled to:</w:t>
      </w:r>
    </w:p>
    <w:p>
      <w:pPr>
        <w:pStyle w:val="Normal.0"/>
        <w:numPr>
          <w:ilvl w:val="0"/>
          <w:numId w:val="4"/>
        </w:numPr>
        <w:rPr>
          <w:lang w:val="en-US"/>
        </w:rPr>
      </w:pPr>
      <w:r>
        <w:rPr>
          <w:rtl w:val="0"/>
          <w:lang w:val="en-US"/>
        </w:rPr>
        <w:t>copy or reproduce the content available within the framework of the Service in whole or in part,</w:t>
      </w:r>
    </w:p>
    <w:p>
      <w:pPr>
        <w:pStyle w:val="Normal.0"/>
        <w:numPr>
          <w:ilvl w:val="0"/>
          <w:numId w:val="4"/>
        </w:numPr>
        <w:rPr>
          <w:lang w:val="en-US"/>
        </w:rPr>
      </w:pPr>
      <w:r>
        <w:rPr>
          <w:rtl w:val="0"/>
          <w:lang w:val="en-US"/>
        </w:rPr>
        <w:t>communicate to the public or redistribute such content,</w:t>
      </w:r>
    </w:p>
    <w:p>
      <w:pPr>
        <w:pStyle w:val="Normal.0"/>
        <w:numPr>
          <w:ilvl w:val="0"/>
          <w:numId w:val="4"/>
        </w:numPr>
        <w:rPr>
          <w:lang w:val="en-US"/>
        </w:rPr>
      </w:pPr>
      <w:r>
        <w:rPr>
          <w:rtl w:val="0"/>
          <w:lang w:val="en-US"/>
        </w:rPr>
        <w:t>make such content accessible to third parties,</w:t>
      </w:r>
    </w:p>
    <w:p>
      <w:pPr>
        <w:pStyle w:val="Normal.0"/>
        <w:numPr>
          <w:ilvl w:val="0"/>
          <w:numId w:val="4"/>
        </w:numPr>
        <w:rPr>
          <w:lang w:val="en-US"/>
        </w:rPr>
      </w:pPr>
      <w:r>
        <w:rPr>
          <w:rtl w:val="0"/>
          <w:lang w:val="en-US"/>
        </w:rPr>
        <w:t>commercially exploit or adapt such content.</w:t>
      </w:r>
    </w:p>
    <w:p>
      <w:pPr>
        <w:pStyle w:val="heading 3"/>
      </w:pPr>
      <w:bookmarkStart w:name="limitedrightofuse" w:id="37"/>
      <w:r>
        <w:rPr>
          <w:rFonts w:cs="Arial Unicode MS" w:eastAsia="Arial Unicode MS"/>
          <w:rtl w:val="0"/>
          <w:lang w:val="en-US"/>
        </w:rPr>
        <w:t>4. Limited Right of Use</w:t>
      </w:r>
      <w:bookmarkEnd w:id="37"/>
    </w:p>
    <w:p>
      <w:pPr>
        <w:pStyle w:val="Normal.0"/>
      </w:pPr>
      <w:r>
        <w:rPr>
          <w:rtl w:val="0"/>
          <w:lang w:val="en-US"/>
        </w:rPr>
        <w:t>The use of the Service does not result in the transfer of the copyright-related economic rights attached to the content; the Subscriber is only entitled to a limited, non-exclusive, non-transferable, and non-sublicensable right of use.</w:t>
      </w:r>
    </w:p>
    <w:p>
      <w:pPr>
        <w:pStyle w:val="heading 3"/>
      </w:pPr>
      <w:bookmarkStart w:name="nontransferabilityofsubscription" w:id="38"/>
      <w:r>
        <w:rPr>
          <w:rFonts w:cs="Arial Unicode MS" w:eastAsia="Arial Unicode MS"/>
          <w:rtl w:val="0"/>
          <w:lang w:val="en-US"/>
        </w:rPr>
        <w:t>5. Non-Transferability of Subscription</w:t>
      </w:r>
      <w:bookmarkEnd w:id="38"/>
    </w:p>
    <w:p>
      <w:pPr>
        <w:pStyle w:val="Normal.0"/>
      </w:pPr>
      <w:r>
        <w:rPr>
          <w:rtl w:val="0"/>
          <w:lang w:val="en-US"/>
        </w:rPr>
        <w:t>The Subscriber is not entitled to transfer, share, or make available the use of their subscription to a third party, unless the Service Provider expressly permits this.</w:t>
      </w:r>
    </w:p>
    <w:p>
      <w:pPr>
        <w:pStyle w:val="heading 3"/>
      </w:pPr>
      <w:bookmarkStart w:name="consequencesofviolation" w:id="39"/>
      <w:r>
        <w:rPr>
          <w:rFonts w:cs="Arial Unicode MS" w:eastAsia="Arial Unicode MS"/>
          <w:rtl w:val="0"/>
          <w:lang w:val="en-US"/>
        </w:rPr>
        <w:t>6. Consequences of Violation</w:t>
      </w:r>
      <w:bookmarkEnd w:id="39"/>
    </w:p>
    <w:p>
      <w:pPr>
        <w:pStyle w:val="Normal.0"/>
      </w:pPr>
      <w:r>
        <w:rPr>
          <w:rtl w:val="0"/>
          <w:lang w:val="en-US"/>
        </w:rPr>
        <w:t>A violation of the provisions set out in this chapter may give grounds for the immediate termination of the subscription relationship by the Service Provider, as well as for taking legal steps if necessary.</w:t>
      </w:r>
    </w:p>
    <w:p>
      <w:pPr>
        <w:pStyle w:val="heading 2"/>
      </w:pPr>
      <w:bookmarkStart w:name="X85dab64fe26be582c4a766c561f159c26964c1f" w:id="40"/>
      <w:r>
        <w:rPr>
          <w:rFonts w:cs="Arial Unicode MS" w:eastAsia="Arial Unicode MS"/>
          <w:rtl w:val="0"/>
          <w:lang w:val="de-DE"/>
        </w:rPr>
        <w:t>VI. SUBSCRIBER</w:t>
      </w:r>
      <w:r>
        <w:rPr>
          <w:rFonts w:cs="Arial Unicode MS" w:eastAsia="Arial Unicode MS" w:hint="default"/>
          <w:rtl w:val="1"/>
        </w:rPr>
        <w:t>’</w:t>
      </w:r>
      <w:r>
        <w:rPr>
          <w:rFonts w:cs="Arial Unicode MS" w:eastAsia="Arial Unicode MS"/>
          <w:rtl w:val="0"/>
          <w:lang w:val="de-DE"/>
        </w:rPr>
        <w:t>S (CONSUMER</w:t>
      </w:r>
      <w:r>
        <w:rPr>
          <w:rFonts w:cs="Arial Unicode MS" w:eastAsia="Arial Unicode MS" w:hint="default"/>
          <w:rtl w:val="1"/>
        </w:rPr>
        <w:t>’</w:t>
      </w:r>
      <w:r>
        <w:rPr>
          <w:rFonts w:cs="Arial Unicode MS" w:eastAsia="Arial Unicode MS"/>
          <w:rtl w:val="0"/>
          <w:lang w:val="en-US"/>
        </w:rPr>
        <w:t>S) RIGHT OF WITHDRAWAL, WARRANTY FOR DEFECTS</w:t>
      </w:r>
      <w:bookmarkEnd w:id="40"/>
    </w:p>
    <w:p>
      <w:pPr>
        <w:pStyle w:val="heading 3"/>
      </w:pPr>
      <w:bookmarkStart w:name="rightofwithdrawal1" w:id="41"/>
      <w:r>
        <w:rPr>
          <w:rFonts w:cs="Arial Unicode MS" w:eastAsia="Arial Unicode MS"/>
          <w:rtl w:val="0"/>
          <w:lang w:val="en-US"/>
        </w:rPr>
        <w:t>1. Right of Withdrawal</w:t>
      </w:r>
      <w:bookmarkEnd w:id="41"/>
    </w:p>
    <w:p>
      <w:pPr>
        <w:pStyle w:val="Normal.0"/>
      </w:pPr>
      <w:r>
        <w:rPr>
          <w:rtl w:val="0"/>
          <w:lang w:val="en-US"/>
        </w:rPr>
        <w:t>The Consumer is entitled to the right of withdrawal without providing a reason as provided by Article 9(1) of Directive 2011/83/EU and Section 20 of Government Decree 45/2014 (II.26.) (hereinafter: Government Decree) when ordering products from the website.</w:t>
      </w:r>
    </w:p>
    <w:p>
      <w:pPr>
        <w:pStyle w:val="heading 3"/>
      </w:pPr>
      <w:bookmarkStart w:name="Xb81110cfb148c5f58275534d76955ae67c35e59" w:id="42"/>
      <w:r>
        <w:rPr>
          <w:rFonts w:cs="Arial Unicode MS" w:eastAsia="Arial Unicode MS"/>
          <w:rtl w:val="0"/>
          <w:lang w:val="en-US"/>
        </w:rPr>
        <w:t>2. Limitation of Right of Withdrawal for Services</w:t>
      </w:r>
      <w:bookmarkEnd w:id="42"/>
    </w:p>
    <w:p>
      <w:pPr>
        <w:pStyle w:val="Normal.0"/>
      </w:pPr>
      <w:r>
        <w:rPr>
          <w:rtl w:val="0"/>
          <w:lang w:val="en-US"/>
        </w:rPr>
        <w:t>Pursuant to Section 29(1) of the Government Decree, the consumer may not exercise their right under Section 20 in the case of a contract for the provision of a service after the service has been fully performed, however, if the contract creates a payment obligation for the consumer, only if performance has commenced with the consumer</w:t>
      </w:r>
      <w:r>
        <w:rPr>
          <w:rtl w:val="1"/>
        </w:rPr>
        <w:t>’</w:t>
      </w:r>
      <w:r>
        <w:rPr>
          <w:rtl w:val="0"/>
          <w:lang w:val="en-US"/>
        </w:rPr>
        <w:t>s express prior consent and acknowledgment that they will lose their right of withdrawal once the business has fully performed the contract.</w:t>
      </w:r>
    </w:p>
    <w:p>
      <w:pPr>
        <w:pStyle w:val="heading 3"/>
      </w:pPr>
      <w:bookmarkStart w:name="X08b387800c35fe87f730bf3007a8cfcd2cc68d0" w:id="43"/>
      <w:r>
        <w:rPr>
          <w:rFonts w:cs="Arial Unicode MS" w:eastAsia="Arial Unicode MS"/>
          <w:rtl w:val="0"/>
          <w:lang w:val="en-US"/>
        </w:rPr>
        <w:t>3. Immediate Performance and Loss of Withdrawal Right</w:t>
      </w:r>
      <w:bookmarkEnd w:id="43"/>
    </w:p>
    <w:p>
      <w:pPr>
        <w:pStyle w:val="Normal.0"/>
      </w:pPr>
      <w:r>
        <w:rPr>
          <w:rtl w:val="0"/>
          <w:lang w:val="en-US"/>
        </w:rPr>
        <w:t>The Service Provider informs the Subscriber that following registration and payment of the subscription fee, the Service is immediately and fully available, i.e., the Service Provider has performed the service. The Subscriber, by accepting these GTC, expressly, in advance, and definitively consents to the Service being provided immediately, and acknowledges that, as a consequence of the immediate performance, they lose their 14-day right of withdrawal in respect of digital content provided electronically, in accordance with the Civil Code and the applicable consumer protection rules. This provision shall not affect the obligation assumed by the Service Provider in point III.11.</w:t>
      </w:r>
    </w:p>
    <w:p>
      <w:pPr>
        <w:pStyle w:val="heading 3"/>
      </w:pPr>
      <w:bookmarkStart w:name="warrantyinformation" w:id="44"/>
      <w:r>
        <w:rPr>
          <w:rFonts w:cs="Arial Unicode MS" w:eastAsia="Arial Unicode MS"/>
          <w:rtl w:val="0"/>
          <w:lang w:val="en-US"/>
        </w:rPr>
        <w:t>4. Warranty Information</w:t>
      </w:r>
      <w:bookmarkEnd w:id="44"/>
    </w:p>
    <w:p>
      <w:pPr>
        <w:pStyle w:val="Normal.0"/>
      </w:pPr>
      <w:r>
        <w:rPr>
          <w:rtl w:val="0"/>
          <w:lang w:val="en-US"/>
        </w:rPr>
        <w:t>More detailed information on warranty rights (warranty for defects) is provided to our Customers in Annex I, prepared pursuant to Government Decree 45/2014 (II.26.).</w:t>
      </w:r>
    </w:p>
    <w:p>
      <w:pPr>
        <w:pStyle w:val="heading 2"/>
      </w:pPr>
      <w:bookmarkStart w:name="Xc27b33ff7bcd1336af2a995ba5a5578a06397d2" w:id="45"/>
      <w:r>
        <w:rPr>
          <w:rFonts w:cs="Arial Unicode MS" w:eastAsia="Arial Unicode MS"/>
          <w:rtl w:val="0"/>
          <w:lang w:val="en-US"/>
        </w:rPr>
        <w:t>VII. COMPLAINT HANDLING, CONCILIATION BODY</w:t>
      </w:r>
      <w:bookmarkEnd w:id="45"/>
    </w:p>
    <w:p>
      <w:pPr>
        <w:pStyle w:val="heading 3"/>
      </w:pPr>
      <w:bookmarkStart w:name="scopeofapplication" w:id="46"/>
      <w:r>
        <w:rPr>
          <w:rFonts w:cs="Arial Unicode MS" w:eastAsia="Arial Unicode MS"/>
          <w:rtl w:val="0"/>
          <w:lang w:val="en-US"/>
        </w:rPr>
        <w:t>1. Scope of Application</w:t>
      </w:r>
      <w:bookmarkEnd w:id="46"/>
    </w:p>
    <w:p>
      <w:pPr>
        <w:pStyle w:val="Normal.0"/>
      </w:pPr>
      <w:r>
        <w:rPr>
          <w:rtl w:val="0"/>
          <w:lang w:val="en-US"/>
        </w:rPr>
        <w:t>The provisions set out in this point shall apply to persons qualifying as Consumers; Visitors, Users, and Subscribers who do not qualify as Consumers may file complaints at the Service Provider</w:t>
      </w:r>
      <w:r>
        <w:rPr>
          <w:rtl w:val="1"/>
        </w:rPr>
        <w:t>’</w:t>
      </w:r>
      <w:r>
        <w:rPr>
          <w:rtl w:val="0"/>
          <w:lang w:val="en-US"/>
        </w:rPr>
        <w:t>s contact details set out in point I.1.</w:t>
      </w:r>
    </w:p>
    <w:p>
      <w:pPr>
        <w:pStyle w:val="heading 3"/>
      </w:pPr>
      <w:bookmarkStart w:name="complaintexaminationandresponse" w:id="47"/>
      <w:r>
        <w:rPr>
          <w:rFonts w:cs="Arial Unicode MS" w:eastAsia="Arial Unicode MS"/>
          <w:rtl w:val="0"/>
          <w:lang w:val="en-US"/>
        </w:rPr>
        <w:t>2. Complaint Examination and Response</w:t>
      </w:r>
      <w:bookmarkEnd w:id="47"/>
    </w:p>
    <w:p>
      <w:pPr>
        <w:pStyle w:val="Normal.0"/>
      </w:pPr>
      <w:r>
        <w:rPr>
          <w:rtl w:val="0"/>
          <w:lang w:val="en-US"/>
        </w:rPr>
        <w:t>The Service Provider shall examine the complaint immediately and remedy it as necessary. If the Consumer disagrees with the handling of the complaint, or if immediate investigation of the complaint is not possible, the Service Provider shall take a record of the complaint and its position thereon and shall provide a copy thereof to the Consumer if the Consumer is present. In the case of a complaint submitted in writing, the Service Provider shall send its substantive response within 30 days at the latest. The Service Provider is obliged to provide reasons for a rejection. The Service Provider shall retain the record of the complaint and a copy of the response for three years and shall present them to the supervisory authorities.</w:t>
      </w:r>
    </w:p>
    <w:p>
      <w:pPr>
        <w:pStyle w:val="heading 3"/>
      </w:pPr>
      <w:bookmarkStart w:name="legalremedyoptions" w:id="48"/>
      <w:r>
        <w:rPr>
          <w:rFonts w:cs="Arial Unicode MS" w:eastAsia="Arial Unicode MS"/>
          <w:rtl w:val="0"/>
          <w:lang w:val="en-US"/>
        </w:rPr>
        <w:t>3. Legal Remedy Options</w:t>
      </w:r>
      <w:bookmarkEnd w:id="48"/>
    </w:p>
    <w:p>
      <w:pPr>
        <w:pStyle w:val="Normal.0"/>
      </w:pPr>
      <w:r>
        <w:rPr>
          <w:rtl w:val="0"/>
          <w:lang w:val="en-US"/>
        </w:rPr>
        <w:t>In the case of a response rejecting the Consumer</w:t>
      </w:r>
      <w:r>
        <w:rPr>
          <w:rtl w:val="1"/>
        </w:rPr>
        <w:t>’</w:t>
      </w:r>
      <w:r>
        <w:rPr>
          <w:rtl w:val="0"/>
          <w:lang w:val="en-US"/>
        </w:rPr>
        <w:t>s complaint, several legal remedy options are available to the Consumer, about which the Service Provider is obliged to inform the Consumer in its rejection response (having regard to the nature of the specific complaint). The legal remedy options available to the Consumer are as follows: the Consumer may turn to the Consumer Protection Authority; in addition, the Consumer may use the Conciliation Body as a dispute resolution forum for the settlement of the legal dispute; and, of course, the Consumer may also choose to have the legal dispute settled by a court. Furthermore, the Consumer also has the option of choosing the online dispute resolution platform operated by the European Commission for the resolution of legal disputes arising from online sales.</w:t>
      </w:r>
    </w:p>
    <w:p>
      <w:pPr>
        <w:pStyle w:val="heading 3"/>
      </w:pPr>
      <w:bookmarkStart w:name="competentconciliationbody" w:id="49"/>
      <w:r>
        <w:rPr>
          <w:rFonts w:cs="Arial Unicode MS" w:eastAsia="Arial Unicode MS"/>
          <w:rtl w:val="0"/>
          <w:lang w:val="fr-FR"/>
        </w:rPr>
        <w:t>4. Competent Conciliation Body</w:t>
      </w:r>
      <w:bookmarkEnd w:id="49"/>
    </w:p>
    <w:p>
      <w:pPr>
        <w:pStyle w:val="Normal.0"/>
      </w:pPr>
      <w:r>
        <w:rPr>
          <w:rtl w:val="0"/>
          <w:lang w:val="en-US"/>
        </w:rPr>
        <w:t>As a general rule, the Conciliation Body competent according to the Consumer</w:t>
      </w:r>
      <w:r>
        <w:rPr>
          <w:rtl w:val="1"/>
        </w:rPr>
        <w:t>’</w:t>
      </w:r>
      <w:r>
        <w:rPr>
          <w:rtl w:val="0"/>
          <w:lang w:val="en-US"/>
        </w:rPr>
        <w:t>s place of residence, or in the absence thereof, place of stay, shall have jurisdiction to conduct proceedings before the Conciliation Body. In the absence of the Consumer</w:t>
      </w:r>
      <w:r>
        <w:rPr>
          <w:rtl w:val="1"/>
        </w:rPr>
        <w:t>’</w:t>
      </w:r>
      <w:r>
        <w:rPr>
          <w:rtl w:val="0"/>
          <w:lang w:val="en-US"/>
        </w:rPr>
        <w:t>s place of residence or place of stay, the Conciliation Body competent according to the registered seat of the Service Provider shall have jurisdiction:</w:t>
      </w:r>
    </w:p>
    <w:p>
      <w:pPr>
        <w:pStyle w:val="Normal.0"/>
      </w:pPr>
      <w:r>
        <w:rPr>
          <w:b w:val="1"/>
          <w:bCs w:val="1"/>
          <w:rtl w:val="0"/>
          <w:lang w:val="en-US"/>
        </w:rPr>
        <w:t>Conciliation Body operated by the Borsod-Aba</w:t>
      </w:r>
      <w:r>
        <w:rPr>
          <w:b w:val="1"/>
          <w:bCs w:val="1"/>
          <w:rtl w:val="0"/>
        </w:rPr>
        <w:t>ú</w:t>
      </w:r>
      <w:r>
        <w:rPr>
          <w:b w:val="1"/>
          <w:bCs w:val="1"/>
          <w:rtl w:val="0"/>
        </w:rPr>
        <w:t>j-Zempl</w:t>
      </w:r>
      <w:r>
        <w:rPr>
          <w:b w:val="1"/>
          <w:bCs w:val="1"/>
          <w:rtl w:val="0"/>
          <w:lang w:val="fr-FR"/>
        </w:rPr>
        <w:t>é</w:t>
      </w:r>
      <w:r>
        <w:rPr>
          <w:b w:val="1"/>
          <w:bCs w:val="1"/>
          <w:rtl w:val="0"/>
          <w:lang w:val="en-US"/>
        </w:rPr>
        <w:t>n County Chamber of Commerce and Industry:</w:t>
      </w:r>
    </w:p>
    <w:p>
      <w:pPr>
        <w:pStyle w:val="Normal.0"/>
      </w:pPr>
      <w:r>
        <w:rPr>
          <w:b w:val="1"/>
          <w:bCs w:val="1"/>
          <w:rtl w:val="0"/>
          <w:lang w:val="en-US"/>
        </w:rPr>
        <w:t>Registered seat:</w:t>
      </w:r>
      <w:r>
        <w:rPr>
          <w:rtl w:val="0"/>
        </w:rPr>
        <w:t xml:space="preserve"> 3525 Miskolc, Szentp</w:t>
      </w:r>
      <w:r>
        <w:rPr>
          <w:rtl w:val="0"/>
        </w:rPr>
        <w:t>á</w:t>
      </w:r>
      <w:r>
        <w:rPr>
          <w:rtl w:val="0"/>
        </w:rPr>
        <w:t>li u. 1.</w:t>
      </w:r>
    </w:p>
    <w:p>
      <w:pPr>
        <w:pStyle w:val="Normal.0"/>
      </w:pPr>
      <w:r>
        <w:rPr>
          <w:b w:val="1"/>
          <w:bCs w:val="1"/>
          <w:rtl w:val="0"/>
          <w:lang w:val="en-US"/>
        </w:rPr>
        <w:t>Postal address:</w:t>
      </w:r>
      <w:r>
        <w:rPr>
          <w:rtl w:val="0"/>
        </w:rPr>
        <w:t xml:space="preserve"> 3501 Miskolc, P.O. Box 376.</w:t>
      </w:r>
    </w:p>
    <w:p>
      <w:pPr>
        <w:pStyle w:val="Normal.0"/>
      </w:pPr>
      <w:r>
        <w:rPr>
          <w:b w:val="1"/>
          <w:bCs w:val="1"/>
          <w:rtl w:val="0"/>
          <w:lang w:val="it-IT"/>
        </w:rPr>
        <w:t>Telephone:</w:t>
      </w:r>
      <w:r>
        <w:rPr>
          <w:rtl w:val="0"/>
          <w:lang w:val="en-US"/>
        </w:rPr>
        <w:t xml:space="preserve"> (46) 501-090/extension 105 (new cases) (46) 501-871 (pending cases)</w:t>
      </w:r>
    </w:p>
    <w:p>
      <w:pPr>
        <w:pStyle w:val="Normal.0"/>
      </w:pPr>
      <w:r>
        <w:rPr>
          <w:b w:val="1"/>
          <w:bCs w:val="1"/>
          <w:rtl w:val="0"/>
        </w:rPr>
        <w:t>E-mail:</w:t>
      </w:r>
      <w:r>
        <w:rPr>
          <w:rtl w:val="0"/>
        </w:rPr>
        <w:t xml:space="preserve"> bekeltetes@bokik.hu</w:t>
      </w:r>
    </w:p>
    <w:p>
      <w:pPr>
        <w:pStyle w:val="heading 3"/>
      </w:pPr>
      <w:bookmarkStart w:name="consumerprotectionauthorities" w:id="50"/>
      <w:r>
        <w:rPr>
          <w:rFonts w:cs="Arial Unicode MS" w:eastAsia="Arial Unicode MS"/>
          <w:rtl w:val="0"/>
          <w:lang w:val="en-US"/>
        </w:rPr>
        <w:t>5. Consumer Protection Authorities</w:t>
      </w:r>
      <w:bookmarkEnd w:id="50"/>
    </w:p>
    <w:p>
      <w:pPr>
        <w:pStyle w:val="Normal.0"/>
      </w:pPr>
      <w:r>
        <w:rPr>
          <w:rtl w:val="0"/>
          <w:lang w:val="en-US"/>
        </w:rPr>
        <w:t>The Consumer may also turn to the Consumer Protection Authorities with complaints related to the Service Provider</w:t>
      </w:r>
      <w:r>
        <w:rPr>
          <w:rtl w:val="1"/>
        </w:rPr>
        <w:t>’</w:t>
      </w:r>
      <w:r>
        <w:rPr>
          <w:rtl w:val="0"/>
          <w:lang w:val="en-US"/>
        </w:rPr>
        <w:t>s complaint handling or other matters falling within the competence of consumer protection authorities. The consumer protection authority operating at the Service Provider</w:t>
      </w:r>
      <w:r>
        <w:rPr>
          <w:rtl w:val="1"/>
        </w:rPr>
        <w:t>’</w:t>
      </w:r>
      <w:r>
        <w:rPr>
          <w:rtl w:val="0"/>
          <w:lang w:val="en-US"/>
        </w:rPr>
        <w:t>s registered seat is the Transport, Technical Licensing and Consumer Protection Department, address: 3300 Eger, Kossuth L. u. 26.</w:t>
      </w:r>
    </w:p>
    <w:p>
      <w:pPr>
        <w:pStyle w:val="heading 3"/>
      </w:pPr>
      <w:bookmarkStart w:name="judicialproceedings" w:id="51"/>
      <w:r>
        <w:rPr>
          <w:rFonts w:cs="Arial Unicode MS" w:eastAsia="Arial Unicode MS"/>
          <w:rtl w:val="0"/>
          <w:lang w:val="en-US"/>
        </w:rPr>
        <w:t>6. Judicial Proceedings</w:t>
      </w:r>
      <w:bookmarkEnd w:id="51"/>
    </w:p>
    <w:p>
      <w:pPr>
        <w:pStyle w:val="Normal.0"/>
      </w:pPr>
      <w:r>
        <w:rPr>
          <w:rtl w:val="0"/>
          <w:lang w:val="en-US"/>
        </w:rPr>
        <w:t>In addition to the procedures referred to above, the consumer may also initiate the resolution of the legal dispute by way of traditional judicial proceedings (by filing a statement of claim). The consumer may choose the judicial dispute resolution form following the proceedings before the Conciliation Body and independently of turning to the Consumer Protection Authority.</w:t>
      </w:r>
    </w:p>
    <w:p>
      <w:pPr>
        <w:pStyle w:val="heading 3"/>
      </w:pPr>
      <w:bookmarkStart w:name="onlinedisputeresolution" w:id="52"/>
      <w:r>
        <w:rPr>
          <w:rFonts w:cs="Arial Unicode MS" w:eastAsia="Arial Unicode MS"/>
          <w:rtl w:val="0"/>
          <w:lang w:val="de-DE"/>
        </w:rPr>
        <w:t>7. Online Dispute Resolution</w:t>
      </w:r>
      <w:bookmarkEnd w:id="52"/>
    </w:p>
    <w:p>
      <w:pPr>
        <w:pStyle w:val="Normal.0"/>
      </w:pPr>
      <w:r>
        <w:rPr>
          <w:rtl w:val="0"/>
          <w:lang w:val="en-US"/>
        </w:rPr>
        <w:t>In addition to the legal remedy options described so far, the online dispute resolution platform operated by the European Commission is also available to the Consumer for the resolution of legal disputes arising from online sales. Detailed information in Hungarian about the system</w:t>
      </w:r>
      <w:r>
        <w:rPr>
          <w:rtl w:val="1"/>
        </w:rPr>
        <w:t>’</w:t>
      </w:r>
      <w:r>
        <w:rPr>
          <w:rtl w:val="0"/>
          <w:lang w:val="en-US"/>
        </w:rPr>
        <w:t>s operation, use, and all other necessary information can be found on the webpage of the online dispute resolution platform.</w:t>
      </w:r>
    </w:p>
    <w:p>
      <w:pPr>
        <w:pStyle w:val="heading 2"/>
      </w:pPr>
      <w:bookmarkStart w:name="annexi" w:id="53"/>
      <w:r>
        <w:rPr>
          <w:rFonts w:cs="Arial Unicode MS" w:eastAsia="Arial Unicode MS"/>
          <w:rtl w:val="0"/>
          <w:lang w:val="de-DE"/>
        </w:rPr>
        <w:t>ANNEX I</w:t>
      </w:r>
      <w:bookmarkEnd w:id="53"/>
    </w:p>
    <w:p>
      <w:pPr>
        <w:pStyle w:val="heading 3"/>
      </w:pPr>
      <w:bookmarkStart w:name="X981ae8e695f651930eed75ceccf45213c9a6092" w:id="54"/>
      <w:r>
        <w:rPr>
          <w:rFonts w:cs="Arial Unicode MS" w:eastAsia="Arial Unicode MS"/>
          <w:rtl w:val="0"/>
          <w:lang w:val="en-US"/>
        </w:rPr>
        <w:t>Model Information on Warranty for Defects</w:t>
      </w:r>
      <w:bookmarkEnd w:id="54"/>
    </w:p>
    <w:p>
      <w:pPr>
        <w:pStyle w:val="heading 4"/>
      </w:pPr>
      <w:bookmarkStart w:name="warrantyfordefects" w:id="55"/>
      <w:r>
        <w:rPr>
          <w:rFonts w:cs="Arial Unicode MS" w:eastAsia="Arial Unicode MS"/>
          <w:rtl w:val="0"/>
          <w:lang w:val="en-US"/>
        </w:rPr>
        <w:t>1. Warranty for Defects</w:t>
      </w:r>
      <w:bookmarkEnd w:id="55"/>
    </w:p>
    <w:p>
      <w:pPr>
        <w:pStyle w:val="Normal.0"/>
      </w:pPr>
      <w:r>
        <w:rPr>
          <w:b w:val="1"/>
          <w:bCs w:val="1"/>
          <w:rtl w:val="0"/>
          <w:lang w:val="en-US"/>
        </w:rPr>
        <w:t>In what cases may you exercise your right to a warranty for defects?</w:t>
      </w:r>
    </w:p>
    <w:p>
      <w:pPr>
        <w:pStyle w:val="Normal.0"/>
      </w:pPr>
      <w:r>
        <w:rPr>
          <w:rtl w:val="0"/>
          <w:lang w:val="en-US"/>
        </w:rPr>
        <w:t>In the case of defective performance by OM Education &amp; Consulting Kft., you may assert a warranty claim for defects against the business in accordance with the rules of the Civil Code.</w:t>
      </w:r>
    </w:p>
    <w:p>
      <w:pPr>
        <w:pStyle w:val="Normal.0"/>
      </w:pPr>
      <w:r>
        <w:rPr>
          <w:b w:val="1"/>
          <w:bCs w:val="1"/>
          <w:rtl w:val="0"/>
          <w:lang w:val="en-US"/>
        </w:rPr>
        <w:t>What rights do you have under your warranty claim for defects?</w:t>
      </w:r>
    </w:p>
    <w:p>
      <w:pPr>
        <w:pStyle w:val="Normal.0"/>
      </w:pPr>
      <w:r>
        <w:rPr>
          <w:rtl w:val="0"/>
          <w:lang w:val="en-US"/>
        </w:rPr>
        <w:t xml:space="preserve">You may </w:t>
      </w:r>
      <w:r>
        <w:rPr>
          <w:rtl w:val="0"/>
          <w:lang w:val="en-US"/>
        </w:rPr>
        <w:t xml:space="preserve">— </w:t>
      </w:r>
      <w:r>
        <w:rPr>
          <w:rtl w:val="0"/>
          <w:lang w:val="en-US"/>
        </w:rPr>
        <w:t xml:space="preserve">at your choice </w:t>
      </w:r>
      <w:r>
        <w:rPr>
          <w:rtl w:val="0"/>
          <w:lang w:val="en-US"/>
        </w:rPr>
        <w:t xml:space="preserve">— </w:t>
      </w:r>
      <w:r>
        <w:rPr>
          <w:rtl w:val="0"/>
          <w:lang w:val="en-US"/>
        </w:rPr>
        <w:t>assert the following warranty claims for defects:</w:t>
      </w:r>
    </w:p>
    <w:p>
      <w:pPr>
        <w:pStyle w:val="Normal.0"/>
      </w:pPr>
      <w:r>
        <w:rPr>
          <w:rtl w:val="0"/>
          <w:lang w:val="en-US"/>
        </w:rPr>
        <w:t xml:space="preserve">You may request repair or replacement, except where the fulfilment of the claim of your choice is impossible or would involve a disproportionate additional cost for the business compared to the fulfilment of another claim. If you did not or could not request repair or replacement, you may request a proportionate reduction of the consideration, or you may repair the defect yourself or have it repaired by someone else at the expense of the business, or </w:t>
      </w:r>
      <w:r>
        <w:rPr>
          <w:rtl w:val="0"/>
          <w:lang w:val="en-US"/>
        </w:rPr>
        <w:t xml:space="preserve">— </w:t>
      </w:r>
      <w:r>
        <w:rPr>
          <w:rtl w:val="0"/>
          <w:lang w:val="en-US"/>
        </w:rPr>
        <w:t xml:space="preserve">as a last resort </w:t>
      </w:r>
      <w:r>
        <w:rPr>
          <w:rtl w:val="0"/>
          <w:lang w:val="en-US"/>
        </w:rPr>
        <w:t xml:space="preserve">— </w:t>
      </w:r>
      <w:r>
        <w:rPr>
          <w:rtl w:val="0"/>
          <w:lang w:val="en-US"/>
        </w:rPr>
        <w:t>you may withdraw from the contract. In the case of a contract between a consumer and a business for the sale of goods qualifying as movable property, for the provision of digital content, or for the provision of digital services, you may not repair the defect yourself or have it repaired by someone else at the expense of the business within the framework of exercising your warranty rights for defects. You may switch from one chosen warranty right for defects to another; however, you shall bear the cost of the switch, unless it was justified or the business gave cause for it.</w:t>
      </w:r>
    </w:p>
    <w:p>
      <w:pPr>
        <w:pStyle w:val="Normal.0"/>
      </w:pPr>
      <w:r>
        <w:rPr>
          <w:b w:val="1"/>
          <w:bCs w:val="1"/>
          <w:rtl w:val="0"/>
          <w:lang w:val="en-US"/>
        </w:rPr>
        <w:t>Within what time limit may you assert your warranty claim for defects?</w:t>
      </w:r>
    </w:p>
    <w:p>
      <w:pPr>
        <w:pStyle w:val="Normal.0"/>
      </w:pPr>
      <w:r>
        <w:rPr>
          <w:rtl w:val="0"/>
          <w:lang w:val="en-US"/>
        </w:rPr>
        <w:t>You are obliged to report the defect without delay after its discovery; in the case of Consumers, no later than within two months of the discovery of the defect. At the same time, please note that for Consumers you may no longer assert your warranty rights for defects beyond a two-year limitation period from the performance of the contract, while for other Purchasers beyond a one-year period.</w:t>
      </w:r>
    </w:p>
    <w:p>
      <w:pPr>
        <w:pStyle w:val="Normal.0"/>
      </w:pPr>
      <w:r>
        <w:rPr>
          <w:b w:val="1"/>
          <w:bCs w:val="1"/>
          <w:rtl w:val="0"/>
          <w:lang w:val="en-US"/>
        </w:rPr>
        <w:t>Against whom may you assert your warranty claim for defects?</w:t>
      </w:r>
    </w:p>
    <w:p>
      <w:pPr>
        <w:pStyle w:val="Normal.0"/>
      </w:pPr>
      <w:r>
        <w:rPr>
          <w:rtl w:val="0"/>
          <w:lang w:val="en-US"/>
        </w:rPr>
        <w:t>You may assert your warranty claim for defects against the business.</w:t>
      </w:r>
    </w:p>
    <w:p>
      <w:pPr>
        <w:pStyle w:val="Normal.0"/>
      </w:pPr>
      <w:r>
        <w:rPr>
          <w:b w:val="1"/>
          <w:bCs w:val="1"/>
          <w:rtl w:val="0"/>
          <w:lang w:val="en-US"/>
        </w:rPr>
        <w:t>What other conditions apply to the assertion of your warranty rights for defects?</w:t>
      </w:r>
    </w:p>
    <w:p>
      <w:pPr>
        <w:pStyle w:val="Normal.0"/>
      </w:pPr>
      <w:r>
        <w:rPr>
          <w:rtl w:val="0"/>
          <w:lang w:val="en-US"/>
        </w:rPr>
        <w:t>Within one year from performance, there is no condition other than the reporting of the defect for asserting your warranty claim for defects, provided that you prove that the product or service was provided by OM Education &amp; Consulting Kft.</w:t>
      </w:r>
    </w:p>
    <w:p>
      <w:pPr>
        <w:pStyle w:val="heading 4"/>
      </w:pPr>
      <w:bookmarkStart w:name="productwarranty" w:id="56"/>
      <w:r>
        <w:rPr>
          <w:rFonts w:cs="Arial Unicode MS" w:eastAsia="Arial Unicode MS"/>
          <w:rtl w:val="0"/>
          <w:lang w:val="en-US"/>
        </w:rPr>
        <w:t>2. Product Warranty</w:t>
      </w:r>
      <w:bookmarkEnd w:id="56"/>
    </w:p>
    <w:p>
      <w:pPr>
        <w:pStyle w:val="Normal.0"/>
      </w:pPr>
      <w:r>
        <w:rPr>
          <w:rtl w:val="0"/>
          <w:lang w:val="en-US"/>
        </w:rPr>
        <w:t>Product warranty is only available to Purchasers qualifying as Consumers under the Civil Code.</w:t>
      </w:r>
    </w:p>
    <w:p>
      <w:pPr>
        <w:pStyle w:val="Normal.0"/>
      </w:pPr>
      <w:r>
        <w:rPr>
          <w:b w:val="1"/>
          <w:bCs w:val="1"/>
          <w:rtl w:val="0"/>
          <w:lang w:val="en-US"/>
        </w:rPr>
        <w:t>In what cases may you exercise your right to a product warranty?</w:t>
      </w:r>
    </w:p>
    <w:p>
      <w:pPr>
        <w:pStyle w:val="Normal.0"/>
      </w:pPr>
      <w:r>
        <w:rPr>
          <w:rtl w:val="0"/>
          <w:lang w:val="en-US"/>
        </w:rPr>
        <w:t xml:space="preserve">In the case of a defective product, you may </w:t>
      </w:r>
      <w:r>
        <w:rPr>
          <w:rtl w:val="0"/>
          <w:lang w:val="en-US"/>
        </w:rPr>
        <w:t xml:space="preserve">— </w:t>
      </w:r>
      <w:r>
        <w:rPr>
          <w:rtl w:val="0"/>
          <w:lang w:val="en-US"/>
        </w:rPr>
        <w:t xml:space="preserve">at your choice </w:t>
      </w:r>
      <w:r>
        <w:rPr>
          <w:rtl w:val="0"/>
          <w:lang w:val="en-US"/>
        </w:rPr>
        <w:t xml:space="preserve">— </w:t>
      </w:r>
      <w:r>
        <w:rPr>
          <w:rtl w:val="0"/>
          <w:lang w:val="en-US"/>
        </w:rPr>
        <w:t>assert the right specified in point 1 or a product warranty claim in accordance with the rules of the Civil Code.</w:t>
      </w:r>
    </w:p>
    <w:p>
      <w:pPr>
        <w:pStyle w:val="Normal.0"/>
      </w:pPr>
      <w:r>
        <w:rPr>
          <w:b w:val="1"/>
          <w:bCs w:val="1"/>
          <w:rtl w:val="0"/>
          <w:lang w:val="en-US"/>
        </w:rPr>
        <w:t>What rights do you have under your product warranty claim?</w:t>
      </w:r>
    </w:p>
    <w:p>
      <w:pPr>
        <w:pStyle w:val="Normal.0"/>
      </w:pPr>
      <w:r>
        <w:rPr>
          <w:rtl w:val="0"/>
          <w:lang w:val="en-US"/>
        </w:rPr>
        <w:t>As a product warranty claim, you may request the repair or replacement of the defective product.</w:t>
      </w:r>
    </w:p>
    <w:p>
      <w:pPr>
        <w:pStyle w:val="Normal.0"/>
      </w:pPr>
      <w:r>
        <w:rPr>
          <w:b w:val="1"/>
          <w:bCs w:val="1"/>
          <w:rtl w:val="0"/>
          <w:lang w:val="en-US"/>
        </w:rPr>
        <w:t>Against whom may you assert your product warranty claim?</w:t>
      </w:r>
    </w:p>
    <w:p>
      <w:pPr>
        <w:pStyle w:val="Normal.0"/>
      </w:pPr>
      <w:r>
        <w:rPr>
          <w:rtl w:val="0"/>
          <w:lang w:val="en-US"/>
        </w:rPr>
        <w:t>You may exercise your product warranty rights against the manufacturer or distributor of the product (hereinafter collectively: manufacturer).</w:t>
      </w:r>
    </w:p>
    <w:p>
      <w:pPr>
        <w:pStyle w:val="Normal.0"/>
      </w:pPr>
      <w:r>
        <w:rPr>
          <w:b w:val="1"/>
          <w:bCs w:val="1"/>
          <w:rtl w:val="0"/>
          <w:lang w:val="en-US"/>
        </w:rPr>
        <w:t>In what cases is the product considered defective?</w:t>
      </w:r>
    </w:p>
    <w:p>
      <w:pPr>
        <w:pStyle w:val="Normal.0"/>
      </w:pPr>
      <w:r>
        <w:rPr>
          <w:rtl w:val="0"/>
          <w:lang w:val="en-US"/>
        </w:rPr>
        <w:t>The product is defective if it does not meet the quality requirements in force at the time it was placed on the market, or if it does not possess the properties described by the manufacturer.</w:t>
      </w:r>
    </w:p>
    <w:p>
      <w:pPr>
        <w:pStyle w:val="Normal.0"/>
      </w:pPr>
      <w:r>
        <w:rPr>
          <w:b w:val="1"/>
          <w:bCs w:val="1"/>
          <w:rtl w:val="0"/>
          <w:lang w:val="en-US"/>
        </w:rPr>
        <w:t>Within what time limit may you assert your product warranty claim?</w:t>
      </w:r>
    </w:p>
    <w:p>
      <w:pPr>
        <w:pStyle w:val="Normal.0"/>
      </w:pPr>
      <w:r>
        <w:rPr>
          <w:rtl w:val="0"/>
          <w:lang w:val="en-US"/>
        </w:rPr>
        <w:t>The defect must be reported to the manufacturer without delay after its discovery; a defect reported within 2 months shall be deemed to have been reported without delay. You may assert your product warranty claim within two years from the date the product was placed on the market by the manufacturer. After this period, you shall lose this right.</w:t>
      </w:r>
    </w:p>
    <w:p>
      <w:pPr>
        <w:pStyle w:val="Normal.0"/>
      </w:pPr>
      <w:r>
        <w:rPr>
          <w:b w:val="1"/>
          <w:bCs w:val="1"/>
          <w:rtl w:val="0"/>
          <w:lang w:val="en-US"/>
        </w:rPr>
        <w:t>In what cases is the manufacturer exempt from its product warranty obligation?</w:t>
      </w:r>
    </w:p>
    <w:p>
      <w:pPr>
        <w:pStyle w:val="Normal.0"/>
      </w:pPr>
      <w:r>
        <w:rPr>
          <w:rtl w:val="0"/>
          <w:lang w:val="en-US"/>
        </w:rPr>
        <w:t>The manufacturer shall be exempt from its product warranty obligation if it can prove that:</w:t>
      </w:r>
    </w:p>
    <w:p>
      <w:pPr>
        <w:pStyle w:val="Normal.0"/>
      </w:pPr>
      <w:r>
        <w:rPr>
          <w:rtl w:val="0"/>
          <w:lang w:val="en-US"/>
        </w:rPr>
        <w:t xml:space="preserve">— </w:t>
      </w:r>
      <w:r>
        <w:rPr>
          <w:rtl w:val="0"/>
          <w:lang w:val="en-US"/>
        </w:rPr>
        <w:t>the product was not manufactured or placed on the market in the course of its business activity, or</w:t>
      </w:r>
    </w:p>
    <w:p>
      <w:pPr>
        <w:pStyle w:val="Normal.0"/>
      </w:pPr>
      <w:r>
        <w:rPr>
          <w:rtl w:val="0"/>
          <w:lang w:val="en-US"/>
        </w:rPr>
        <w:t xml:space="preserve">— </w:t>
      </w:r>
      <w:r>
        <w:rPr>
          <w:rtl w:val="0"/>
          <w:lang w:val="en-US"/>
        </w:rPr>
        <w:t>the defect was not recognizable according to the state of science and technology at the time the product was placed on the market, or</w:t>
      </w:r>
    </w:p>
    <w:p>
      <w:pPr>
        <w:pStyle w:val="Normal.0"/>
      </w:pPr>
      <w:r>
        <w:rPr>
          <w:rtl w:val="0"/>
          <w:lang w:val="en-US"/>
        </w:rPr>
        <w:t xml:space="preserve">— </w:t>
      </w:r>
      <w:r>
        <w:rPr>
          <w:rtl w:val="0"/>
          <w:lang w:val="en-US"/>
        </w:rPr>
        <w:t>the defect of the product results from the application of a legal regulation or a mandatory official requirement. It is sufficient for the manufacturer to prove one reason for exemption.</w:t>
      </w:r>
    </w:p>
    <w:p>
      <w:pPr>
        <w:pStyle w:val="Normal.0"/>
      </w:pPr>
      <w:r>
        <w:rPr>
          <w:rtl w:val="0"/>
          <w:lang w:val="en-US"/>
        </w:rPr>
        <w:t>Please note that you may assert a warranty claim for defects against the business and a product warranty claim against the manufacturer for the same defect simultaneously, in parallel. However, if your product warranty claim is successfully asserted, you may subsequently assert your warranty claim for defects in respect of the replaced product or the part of the product affected by the repair only against the manufacturer.</w:t>
      </w:r>
    </w:p>
    <w:p>
      <w:pPr>
        <w:pStyle w:val="heading 4"/>
      </w:pPr>
      <w:bookmarkStart w:name="productwarrantyguarantee" w:id="57"/>
      <w:r>
        <w:rPr>
          <w:rFonts w:cs="Arial Unicode MS" w:eastAsia="Arial Unicode MS"/>
          <w:rtl w:val="0"/>
          <w:lang w:val="en-US"/>
        </w:rPr>
        <w:t>3. Product Warranty, Guarantee</w:t>
      </w:r>
      <w:bookmarkEnd w:id="57"/>
    </w:p>
    <w:p>
      <w:pPr>
        <w:pStyle w:val="Normal.0"/>
      </w:pPr>
      <w:r>
        <w:rPr>
          <w:rtl w:val="0"/>
          <w:lang w:val="en-US"/>
        </w:rPr>
        <w:t>Pursuant to the applicable legislation, neither product warranty nor guarantee applies to the service provided by the Service Provider.</w:t>
      </w:r>
    </w:p>
    <w:sectPr>
      <w:headerReference w:type="default" r:id="rId4"/>
      <w:footerReference w:type="default" r:id="rId5"/>
      <w:pgSz w:w="11900" w:h="16840" w:orient="portrait"/>
      <w:pgMar w:top="1417" w:right="1417" w:bottom="1417" w:left="1417"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480" w:hanging="4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200" w:hanging="48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920" w:hanging="4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640" w:hanging="48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360" w:hanging="4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080" w:hanging="4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800" w:hanging="4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520" w:hanging="48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240" w:hanging="4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lowerLetter"/>
      <w:suff w:val="tab"/>
      <w:lvlText w:val="%1)"/>
      <w:lvlJc w:val="left"/>
      <w:pPr>
        <w:ind w:left="480" w:hanging="4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200" w:hanging="48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suff w:val="tab"/>
      <w:lvlText w:val="%3)"/>
      <w:lvlJc w:val="left"/>
      <w:pPr>
        <w:ind w:left="1920" w:hanging="4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Letter"/>
      <w:suff w:val="tab"/>
      <w:lvlText w:val="%4)"/>
      <w:lvlJc w:val="left"/>
      <w:pPr>
        <w:ind w:left="2640" w:hanging="48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360" w:hanging="4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Letter"/>
      <w:suff w:val="tab"/>
      <w:lvlText w:val="%6)"/>
      <w:lvlJc w:val="left"/>
      <w:pPr>
        <w:ind w:left="4080" w:hanging="4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lowerLetter"/>
      <w:suff w:val="tab"/>
      <w:lvlText w:val="%7)"/>
      <w:lvlJc w:val="left"/>
      <w:pPr>
        <w:ind w:left="4800" w:hanging="4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520" w:hanging="48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Letter"/>
      <w:suff w:val="tab"/>
      <w:lvlText w:val="%9)"/>
      <w:lvlJc w:val="left"/>
      <w:pPr>
        <w:ind w:left="6240" w:hanging="48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heading 1">
    <w:name w:val="heading 1"/>
    <w:next w:val="Normal.0"/>
    <w:pPr>
      <w:keepNext w:val="1"/>
      <w:keepLines w:val="1"/>
      <w:pageBreakBefore w:val="0"/>
      <w:widowControl w:val="1"/>
      <w:shd w:val="clear" w:color="auto" w:fill="auto"/>
      <w:suppressAutoHyphens w:val="0"/>
      <w:bidi w:val="0"/>
      <w:spacing w:before="480" w:after="0" w:line="276" w:lineRule="auto"/>
      <w:ind w:left="0" w:right="0" w:firstLine="0"/>
      <w:jc w:val="left"/>
      <w:outlineLvl w:val="0"/>
    </w:pPr>
    <w:rPr>
      <w:rFonts w:ascii="Times New Roman" w:cs="Arial Unicode MS" w:hAnsi="Times New Roman" w:eastAsia="Arial Unicode MS"/>
      <w:b w:val="1"/>
      <w:bCs w:val="1"/>
      <w:i w:val="0"/>
      <w:iCs w:val="0"/>
      <w:caps w:val="0"/>
      <w:smallCaps w:val="0"/>
      <w:strike w:val="0"/>
      <w:dstrike w:val="0"/>
      <w:outline w:val="0"/>
      <w:color w:val="365f91"/>
      <w:spacing w:val="0"/>
      <w:kern w:val="0"/>
      <w:position w:val="0"/>
      <w:sz w:val="28"/>
      <w:szCs w:val="28"/>
      <w:u w:val="none" w:color="365f91"/>
      <w:shd w:val="nil" w:color="auto" w:fill="auto"/>
      <w:vertAlign w:val="baseline"/>
      <w14:textFill>
        <w14:solidFill>
          <w14:srgbClr w14:val="365F91"/>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Fill>
        <w14:solidFill>
          <w14:srgbClr w14:val="000000"/>
        </w14:solidFill>
      </w14:textFill>
    </w:rPr>
  </w:style>
  <w:style w:type="character" w:styleId="Hyperlink.0">
    <w:name w:val="Hyperlink.0"/>
    <w:basedOn w:val="Hyperlink"/>
    <w:next w:val="Hyperlink.0"/>
    <w:rPr>
      <w:outline w:val="0"/>
      <w:color w:val="0000ff"/>
      <w:u w:val="single" w:color="0000ff"/>
      <w14:textFill>
        <w14:solidFill>
          <w14:srgbClr w14:val="0000FF"/>
        </w14:solidFill>
      </w14:textFill>
    </w:rPr>
  </w:style>
  <w:style w:type="paragraph" w:styleId="heading 2">
    <w:name w:val="heading 2"/>
    <w:next w:val="heading 2"/>
    <w:pPr>
      <w:keepNext w:val="0"/>
      <w:keepLines w:val="0"/>
      <w:pageBreakBefore w:val="0"/>
      <w:widowControl w:val="1"/>
      <w:shd w:val="clear" w:color="auto" w:fill="auto"/>
      <w:suppressAutoHyphens w:val="0"/>
      <w:bidi w:val="0"/>
      <w:spacing w:before="100" w:after="100" w:line="240" w:lineRule="auto"/>
      <w:ind w:left="0" w:right="0" w:firstLine="0"/>
      <w:jc w:val="left"/>
      <w:outlineLvl w:val="1"/>
    </w:pP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36"/>
      <w:szCs w:val="36"/>
      <w:u w:val="none" w:color="000000"/>
      <w:shd w:val="nil" w:color="auto" w:fill="auto"/>
      <w:vertAlign w:val="baseline"/>
      <w14:textFill>
        <w14:solidFill>
          <w14:srgbClr w14:val="000000"/>
        </w14:solidFill>
      </w14:textFill>
    </w:rPr>
  </w:style>
  <w:style w:type="paragraph" w:styleId="heading 3">
    <w:name w:val="heading 3"/>
    <w:next w:val="heading 3"/>
    <w:pPr>
      <w:keepNext w:val="0"/>
      <w:keepLines w:val="0"/>
      <w:pageBreakBefore w:val="0"/>
      <w:widowControl w:val="1"/>
      <w:shd w:val="clear" w:color="auto" w:fill="auto"/>
      <w:suppressAutoHyphens w:val="0"/>
      <w:bidi w:val="0"/>
      <w:spacing w:before="100" w:after="100" w:line="240" w:lineRule="auto"/>
      <w:ind w:left="0" w:right="0" w:firstLine="0"/>
      <w:jc w:val="left"/>
      <w:outlineLvl w:val="2"/>
    </w:pP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7"/>
      <w:szCs w:val="27"/>
      <w:u w:val="none" w:color="000000"/>
      <w:shd w:val="nil" w:color="auto" w:fill="auto"/>
      <w:vertAlign w:val="baseline"/>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paragraph" w:styleId="heading 4">
    <w:name w:val="heading 4"/>
    <w:next w:val="Normal.0"/>
    <w:pPr>
      <w:keepNext w:val="1"/>
      <w:keepLines w:val="1"/>
      <w:pageBreakBefore w:val="0"/>
      <w:widowControl w:val="1"/>
      <w:shd w:val="clear" w:color="auto" w:fill="auto"/>
      <w:suppressAutoHyphens w:val="0"/>
      <w:bidi w:val="0"/>
      <w:spacing w:before="200" w:after="0" w:line="276" w:lineRule="auto"/>
      <w:ind w:left="0" w:right="0" w:firstLine="0"/>
      <w:jc w:val="left"/>
      <w:outlineLvl w:val="2"/>
    </w:pPr>
    <w:rPr>
      <w:rFonts w:ascii="Times New Roman" w:cs="Times New Roman" w:hAnsi="Times New Roman" w:eastAsia="Times New Roman"/>
      <w:b w:val="1"/>
      <w:bCs w:val="1"/>
      <w:i w:val="1"/>
      <w:iCs w:val="1"/>
      <w:caps w:val="0"/>
      <w:smallCaps w:val="0"/>
      <w:strike w:val="0"/>
      <w:dstrike w:val="0"/>
      <w:outline w:val="0"/>
      <w:color w:val="4f81bd"/>
      <w:spacing w:val="0"/>
      <w:kern w:val="0"/>
      <w:position w:val="0"/>
      <w:sz w:val="22"/>
      <w:szCs w:val="22"/>
      <w:u w:val="none" w:color="4f81bd"/>
      <w:shd w:val="nil" w:color="auto" w:fill="auto"/>
      <w:vertAlign w:val="baseline"/>
      <w14:textFill>
        <w14:solidFill>
          <w14:srgbClr w14:val="4F81BD"/>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téma">
  <a:themeElements>
    <a:clrScheme name="Office-tém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téma">
      <a:majorFont>
        <a:latin typeface="Helvetica Neue"/>
        <a:ea typeface="Helvetica Neue"/>
        <a:cs typeface="Helvetica Neue"/>
      </a:majorFont>
      <a:minorFont>
        <a:latin typeface="Helvetica Neue"/>
        <a:ea typeface="Helvetica Neue"/>
        <a:cs typeface="Helvetica Neue"/>
      </a:minorFont>
    </a:fontScheme>
    <a:fmtScheme name="Office-té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